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sz w:val="32"/>
          <w:szCs w:val="32"/>
        </w:rPr>
      </w:pPr>
    </w:p>
    <w:p>
      <w:pPr>
        <w:jc w:val="center"/>
        <w:rPr>
          <w:rFonts w:ascii="仿宋" w:hAnsi="仿宋" w:eastAsia="仿宋" w:cs="仿宋"/>
          <w:sz w:val="32"/>
          <w:szCs w:val="32"/>
        </w:rPr>
      </w:pPr>
      <w:r>
        <w:rPr>
          <w:rFonts w:hint="eastAsia" w:ascii="仿宋" w:hAnsi="仿宋" w:eastAsia="仿宋" w:cs="仿宋"/>
          <w:sz w:val="44"/>
          <w:szCs w:val="44"/>
        </w:rPr>
        <w:t>广州市康园工疗机构管理办法</w:t>
      </w:r>
    </w:p>
    <w:p>
      <w:pPr>
        <w:jc w:val="center"/>
        <w:rPr>
          <w:rFonts w:ascii="黑体" w:hAnsi="黑体" w:eastAsia="黑体" w:cs="黑体"/>
          <w:sz w:val="32"/>
          <w:szCs w:val="32"/>
        </w:rPr>
      </w:pPr>
    </w:p>
    <w:p>
      <w:pPr>
        <w:jc w:val="center"/>
        <w:rPr>
          <w:rFonts w:ascii="仿宋_GB2312" w:hAnsi="宋体" w:eastAsia="仿宋_GB2312" w:cs="宋体"/>
          <w:sz w:val="32"/>
          <w:szCs w:val="32"/>
        </w:rPr>
      </w:pPr>
      <w:r>
        <w:rPr>
          <w:rFonts w:hint="eastAsia" w:ascii="仿宋_GB2312" w:hAnsi="宋体" w:eastAsia="仿宋_GB2312" w:cs="宋体"/>
          <w:b/>
          <w:bCs/>
          <w:sz w:val="32"/>
          <w:szCs w:val="32"/>
        </w:rPr>
        <w:t>第一章 总则</w:t>
      </w:r>
    </w:p>
    <w:p>
      <w:pPr>
        <w:ind w:firstLine="626" w:firstLineChars="195"/>
        <w:rPr>
          <w:rFonts w:ascii="仿宋_GB2312" w:hAnsi="仿宋" w:eastAsia="仿宋_GB2312"/>
          <w:sz w:val="32"/>
          <w:szCs w:val="32"/>
        </w:rPr>
      </w:pPr>
      <w:bookmarkStart w:id="0" w:name="_Hlk54725614"/>
      <w:r>
        <w:rPr>
          <w:rFonts w:hint="eastAsia" w:ascii="仿宋_GB2312" w:hAnsi="仿宋" w:eastAsia="仿宋_GB2312"/>
          <w:b/>
          <w:sz w:val="32"/>
          <w:szCs w:val="32"/>
        </w:rPr>
        <w:t>第一条</w:t>
      </w:r>
      <w:bookmarkStart w:id="1" w:name="_Hlk54623263"/>
      <w:r>
        <w:rPr>
          <w:rFonts w:hint="eastAsia" w:ascii="仿宋_GB2312" w:hAnsi="仿宋" w:eastAsia="仿宋_GB2312"/>
          <w:sz w:val="32"/>
          <w:szCs w:val="32"/>
        </w:rPr>
        <w:t>【</w:t>
      </w:r>
      <w:r>
        <w:rPr>
          <w:rFonts w:hint="eastAsia" w:ascii="仿宋_GB2312" w:hAnsi="仿宋" w:eastAsia="仿宋_GB2312"/>
          <w:b/>
          <w:bCs/>
          <w:sz w:val="32"/>
          <w:szCs w:val="32"/>
        </w:rPr>
        <w:t>制定目的</w:t>
      </w:r>
      <w:r>
        <w:rPr>
          <w:rFonts w:hint="eastAsia" w:ascii="仿宋_GB2312" w:hAnsi="仿宋" w:eastAsia="仿宋_GB2312"/>
          <w:sz w:val="32"/>
          <w:szCs w:val="32"/>
        </w:rPr>
        <w:t>】</w:t>
      </w:r>
    </w:p>
    <w:bookmarkEnd w:id="1"/>
    <w:p>
      <w:pPr>
        <w:ind w:firstLine="624" w:firstLineChars="195"/>
        <w:rPr>
          <w:rFonts w:ascii="仿宋_GB2312" w:hAnsi="仿宋" w:eastAsia="仿宋_GB2312"/>
          <w:sz w:val="32"/>
          <w:szCs w:val="32"/>
        </w:rPr>
      </w:pPr>
      <w:r>
        <w:rPr>
          <w:rFonts w:hint="eastAsia" w:ascii="仿宋_GB2312" w:hAnsi="仿宋" w:eastAsia="仿宋_GB2312"/>
          <w:sz w:val="32"/>
          <w:szCs w:val="32"/>
        </w:rPr>
        <w:t xml:space="preserve">为保障具有广州市户籍，处于就业年龄段并能适应在康园工疗机构开展的相关活动及训练的智力、精神、重度肢体残疾及其他有需求的残疾人之康复权益，建立残疾人康复服务与职业训练长效保障机制，提高康园工疗机构运行效率和社会效益，规范工作人员的职业行为，提高工作人员的整体素质，保障康园工疗机构的服务质量，促进工疗人员的能力提升，制定本办法。   </w:t>
      </w:r>
    </w:p>
    <w:bookmarkEnd w:id="0"/>
    <w:p>
      <w:pPr>
        <w:widowControl/>
        <w:shd w:val="clear" w:color="auto" w:fill="FFFFFF"/>
        <w:ind w:firstLine="643" w:firstLineChars="200"/>
        <w:jc w:val="left"/>
        <w:rPr>
          <w:rFonts w:ascii="仿宋_GB2312" w:hAnsi="仿宋" w:eastAsia="仿宋_GB2312"/>
          <w:b/>
          <w:sz w:val="32"/>
          <w:szCs w:val="32"/>
        </w:rPr>
      </w:pPr>
      <w:bookmarkStart w:id="2" w:name="_Hlk54726532"/>
      <w:r>
        <w:rPr>
          <w:rFonts w:hint="eastAsia" w:ascii="仿宋_GB2312" w:hAnsi="仿宋" w:eastAsia="仿宋_GB2312"/>
          <w:b/>
          <w:sz w:val="32"/>
          <w:szCs w:val="32"/>
        </w:rPr>
        <w:t>第二条  【康园工疗机构】</w:t>
      </w:r>
    </w:p>
    <w:bookmarkEnd w:id="2"/>
    <w:p>
      <w:pPr>
        <w:widowControl/>
        <w:shd w:val="clear" w:color="auto" w:fill="FFFFFF"/>
        <w:ind w:firstLine="640" w:firstLineChars="200"/>
        <w:jc w:val="left"/>
        <w:rPr>
          <w:rFonts w:ascii="仿宋_GB2312" w:hAnsi="仿宋" w:eastAsia="仿宋_GB2312"/>
          <w:bCs/>
          <w:sz w:val="32"/>
          <w:szCs w:val="32"/>
        </w:rPr>
      </w:pPr>
      <w:bookmarkStart w:id="3" w:name="_Hlk54726681"/>
      <w:r>
        <w:rPr>
          <w:rFonts w:hint="eastAsia" w:ascii="仿宋_GB2312" w:hAnsi="仿宋" w:eastAsia="仿宋_GB2312"/>
          <w:bCs/>
          <w:sz w:val="32"/>
          <w:szCs w:val="32"/>
        </w:rPr>
        <w:t>本办法所称康园工疗机构，是指在街道（镇）或居委（村）建立的为就业年龄段的智力、精神、重度肢体残疾及其他有需求的残疾人提供日间托管、生活自理能力训练、社会适应能力辅导、职业康复与劳动技能训练、文体娱乐及与运动功能训练等为主要内容，视条件提供生活照料和护理，以提高学员生活质量和社会参与能力、减轻家庭及社会负担的综合性残疾人社区服务机构，包括区康园中心及康园工疗站。</w:t>
      </w:r>
    </w:p>
    <w:p>
      <w:pPr>
        <w:widowControl/>
        <w:shd w:val="clear" w:color="auto" w:fill="FFFFFF"/>
        <w:ind w:firstLine="643" w:firstLineChars="200"/>
        <w:jc w:val="left"/>
        <w:rPr>
          <w:rFonts w:ascii="仿宋_GB2312" w:hAnsi="仿宋" w:eastAsia="仿宋_GB2312"/>
          <w:b/>
          <w:sz w:val="32"/>
          <w:szCs w:val="32"/>
        </w:rPr>
      </w:pPr>
      <w:r>
        <w:rPr>
          <w:rFonts w:hint="eastAsia" w:ascii="仿宋_GB2312" w:hAnsi="仿宋" w:eastAsia="仿宋_GB2312"/>
          <w:b/>
          <w:sz w:val="32"/>
          <w:szCs w:val="32"/>
        </w:rPr>
        <w:t>第三条  【层级管理】</w:t>
      </w:r>
    </w:p>
    <w:p>
      <w:pPr>
        <w:ind w:firstLine="627" w:firstLineChars="196"/>
        <w:rPr>
          <w:rFonts w:ascii="仿宋_GB2312" w:hAnsi="仿宋" w:eastAsia="仿宋_GB2312"/>
          <w:sz w:val="32"/>
          <w:szCs w:val="32"/>
        </w:rPr>
      </w:pPr>
      <w:r>
        <w:rPr>
          <w:rFonts w:hint="eastAsia" w:ascii="仿宋_GB2312" w:hAnsi="仿宋" w:eastAsia="仿宋_GB2312"/>
          <w:sz w:val="32"/>
          <w:szCs w:val="32"/>
        </w:rPr>
        <w:t>1.广州市残疾人就业培训服务中心在广州市残疾人联合会指导下统筹指导全市康园工疗机构的组建与日常管理、职业康复和工疗训练等业务；负责协调全市康园工疗站产品的产供销业务；组织协调各区康园中心志愿服务活动；组织开展全市性的康园工疗机构服务活动和工作人员的专业培训。</w:t>
      </w:r>
    </w:p>
    <w:p>
      <w:pPr>
        <w:ind w:firstLine="627" w:firstLineChars="196"/>
        <w:rPr>
          <w:rFonts w:ascii="仿宋_GB2312" w:hAnsi="仿宋" w:eastAsia="仿宋_GB2312"/>
          <w:bCs/>
          <w:sz w:val="32"/>
          <w:szCs w:val="32"/>
        </w:rPr>
      </w:pPr>
      <w:r>
        <w:rPr>
          <w:rFonts w:hint="eastAsia" w:ascii="仿宋_GB2312" w:hAnsi="仿宋" w:eastAsia="仿宋_GB2312"/>
          <w:bCs/>
          <w:sz w:val="32"/>
          <w:szCs w:val="32"/>
        </w:rPr>
        <w:t>2、各区依法</w:t>
      </w:r>
      <w:r>
        <w:rPr>
          <w:rFonts w:hint="eastAsia" w:ascii="仿宋_GB2312" w:hAnsi="仿宋" w:eastAsia="仿宋_GB2312"/>
          <w:bCs/>
          <w:color w:val="000000" w:themeColor="text1"/>
          <w:sz w:val="32"/>
          <w:szCs w:val="32"/>
        </w:rPr>
        <w:t>经市残疾人</w:t>
      </w:r>
      <w:r>
        <w:rPr>
          <w:rFonts w:hint="eastAsia" w:ascii="仿宋_GB2312" w:hAnsi="仿宋" w:eastAsia="仿宋_GB2312"/>
          <w:sz w:val="32"/>
          <w:szCs w:val="32"/>
        </w:rPr>
        <w:t>就业培训服务</w:t>
      </w:r>
      <w:r>
        <w:rPr>
          <w:rFonts w:hint="eastAsia" w:ascii="仿宋_GB2312" w:hAnsi="仿宋" w:eastAsia="仿宋_GB2312"/>
          <w:bCs/>
          <w:color w:val="000000" w:themeColor="text1"/>
          <w:sz w:val="32"/>
          <w:szCs w:val="32"/>
        </w:rPr>
        <w:t>中心批</w:t>
      </w:r>
      <w:r>
        <w:rPr>
          <w:rFonts w:hint="eastAsia" w:ascii="仿宋_GB2312" w:hAnsi="仿宋" w:eastAsia="仿宋_GB2312"/>
          <w:bCs/>
          <w:sz w:val="32"/>
          <w:szCs w:val="32"/>
        </w:rPr>
        <w:t>准、登记，成立社会服务机构类型的区康园工疗站服务中心（简称区康园中心）</w:t>
      </w:r>
      <w:r>
        <w:rPr>
          <w:rFonts w:hint="eastAsia" w:ascii="仿宋_GB2312" w:hAnsi="仿宋" w:eastAsia="仿宋_GB2312"/>
          <w:bCs/>
          <w:color w:val="000000" w:themeColor="text1"/>
          <w:sz w:val="32"/>
          <w:szCs w:val="32"/>
        </w:rPr>
        <w:t>；市残疾人</w:t>
      </w:r>
      <w:r>
        <w:rPr>
          <w:rFonts w:hint="eastAsia" w:ascii="仿宋_GB2312" w:hAnsi="仿宋" w:eastAsia="仿宋_GB2312"/>
          <w:color w:val="000000" w:themeColor="text1"/>
          <w:sz w:val="32"/>
          <w:szCs w:val="32"/>
        </w:rPr>
        <w:t>就业培训服务</w:t>
      </w:r>
      <w:r>
        <w:rPr>
          <w:rFonts w:hint="eastAsia" w:ascii="仿宋_GB2312" w:hAnsi="仿宋" w:eastAsia="仿宋_GB2312"/>
          <w:bCs/>
          <w:color w:val="000000" w:themeColor="text1"/>
          <w:sz w:val="32"/>
          <w:szCs w:val="32"/>
        </w:rPr>
        <w:t>中心按照《广州市人民政府办公厅转发市残联等部门关于加强康园工疗机构建设工作方案的通知》（穗府办〔2006〕12号）规定职责对区康园中心开展业务监督指导等工作，（原残疾人展能中心已和残疾人就业培训服务中心合并，相关工作职责由残疾人就业培训服务中心承担）</w:t>
      </w:r>
      <w:r>
        <w:rPr>
          <w:rFonts w:hint="eastAsia" w:ascii="仿宋_GB2312" w:hAnsi="仿宋" w:eastAsia="仿宋_GB2312"/>
          <w:bCs/>
          <w:sz w:val="32"/>
          <w:szCs w:val="32"/>
        </w:rPr>
        <w:t>；各街道设康园工疗站（简称“工疗站”），作为区康园中心的连锁服务点，接受区康园中心业务指导;负责站内的工疗服务开展、资金财物开支、设施设备使用、人员管理等日常运作管理。</w:t>
      </w:r>
    </w:p>
    <w:p>
      <w:pPr>
        <w:ind w:firstLine="627" w:firstLineChars="196"/>
        <w:rPr>
          <w:rFonts w:ascii="仿宋_GB2312" w:hAnsi="仿宋" w:eastAsia="仿宋_GB2312"/>
          <w:sz w:val="32"/>
          <w:szCs w:val="32"/>
        </w:rPr>
      </w:pPr>
      <w:r>
        <w:rPr>
          <w:rFonts w:hint="eastAsia" w:ascii="仿宋_GB2312" w:hAnsi="仿宋" w:eastAsia="仿宋_GB2312"/>
          <w:sz w:val="32"/>
          <w:szCs w:val="32"/>
        </w:rPr>
        <w:t>3.各街道（镇）应支持、监督辖内街（镇）工疗站工作之开展，为工疗站提供场地、协助学员管理、机关团体及企事业单位对接联络帮扶等便利条件及服务；街道残联应为工疗人员的入站／离站情况出具相应证明。</w:t>
      </w:r>
    </w:p>
    <w:p>
      <w:pPr>
        <w:widowControl/>
        <w:shd w:val="clear" w:color="auto" w:fill="FFFFFF"/>
        <w:ind w:firstLine="640" w:firstLineChars="200"/>
        <w:jc w:val="left"/>
        <w:rPr>
          <w:rFonts w:ascii="仿宋_GB2312" w:hAnsi="仿宋" w:eastAsia="仿宋_GB2312"/>
          <w:bCs/>
          <w:color w:val="000000" w:themeColor="text1"/>
          <w:sz w:val="32"/>
          <w:szCs w:val="32"/>
        </w:rPr>
      </w:pPr>
      <w:r>
        <w:rPr>
          <w:rFonts w:hint="eastAsia" w:ascii="仿宋_GB2312" w:hAnsi="仿宋" w:eastAsia="仿宋_GB2312"/>
          <w:bCs/>
          <w:color w:val="000000" w:themeColor="text1"/>
          <w:sz w:val="32"/>
          <w:szCs w:val="32"/>
        </w:rPr>
        <w:t>4.本办法生效前，相关康园工疗机构已与第三方机构签订协议代为运营的，按照协议内容继续履行。</w:t>
      </w:r>
    </w:p>
    <w:p>
      <w:pPr>
        <w:ind w:firstLine="627" w:firstLineChars="196"/>
        <w:rPr>
          <w:rFonts w:hint="eastAsia" w:ascii="仿宋_GB2312" w:hAnsi="仿宋" w:eastAsia="仿宋_GB2312"/>
          <w:sz w:val="32"/>
          <w:szCs w:val="32"/>
        </w:rPr>
      </w:pPr>
      <w:r>
        <w:rPr>
          <w:rFonts w:hint="eastAsia" w:ascii="仿宋_GB2312" w:hAnsi="仿宋" w:eastAsia="仿宋_GB2312"/>
          <w:sz w:val="32"/>
          <w:szCs w:val="32"/>
        </w:rPr>
        <w:t>5.工疗站应在各级党委、政府的领导下，推进党组织建设、党员思想教育和优秀工作人员发展党员等工作，确保工作人员增强“四个意识”、坚定“四个自信“、做到”两个维护“，把工作人员培养成为宣传党的主张、落实党的政策方针、联系服务群众的重要力量。</w:t>
      </w:r>
    </w:p>
    <w:bookmarkEnd w:id="3"/>
    <w:p>
      <w:pPr>
        <w:ind w:firstLine="630" w:firstLineChars="196"/>
        <w:rPr>
          <w:rFonts w:ascii="仿宋_GB2312" w:hAnsi="仿宋" w:eastAsia="仿宋_GB2312"/>
          <w:sz w:val="32"/>
          <w:szCs w:val="32"/>
        </w:rPr>
      </w:pPr>
      <w:bookmarkStart w:id="4" w:name="_Hlk54727240"/>
      <w:r>
        <w:rPr>
          <w:rFonts w:hint="eastAsia" w:ascii="仿宋_GB2312" w:hAnsi="仿宋" w:eastAsia="仿宋_GB2312"/>
          <w:b/>
          <w:sz w:val="32"/>
          <w:szCs w:val="32"/>
        </w:rPr>
        <w:t>第四条</w:t>
      </w:r>
      <w:r>
        <w:rPr>
          <w:rFonts w:hint="eastAsia" w:ascii="仿宋_GB2312" w:hAnsi="仿宋" w:eastAsia="仿宋_GB2312"/>
          <w:sz w:val="32"/>
          <w:szCs w:val="32"/>
        </w:rPr>
        <w:t xml:space="preserve">  【</w:t>
      </w:r>
      <w:r>
        <w:rPr>
          <w:rFonts w:hint="eastAsia" w:ascii="仿宋_GB2312" w:hAnsi="仿宋" w:eastAsia="仿宋_GB2312"/>
          <w:b/>
          <w:bCs/>
          <w:sz w:val="32"/>
          <w:szCs w:val="32"/>
        </w:rPr>
        <w:t>工疗人员</w:t>
      </w:r>
      <w:r>
        <w:rPr>
          <w:rFonts w:hint="eastAsia" w:ascii="仿宋_GB2312" w:hAnsi="仿宋" w:eastAsia="仿宋_GB2312"/>
          <w:sz w:val="32"/>
          <w:szCs w:val="32"/>
        </w:rPr>
        <w:t>】</w:t>
      </w:r>
    </w:p>
    <w:p>
      <w:pPr>
        <w:ind w:firstLine="627" w:firstLineChars="196"/>
        <w:rPr>
          <w:rFonts w:ascii="仿宋_GB2312" w:hAnsi="仿宋" w:eastAsia="仿宋_GB2312"/>
          <w:sz w:val="32"/>
          <w:szCs w:val="32"/>
        </w:rPr>
      </w:pPr>
      <w:r>
        <w:rPr>
          <w:rFonts w:hint="eastAsia" w:ascii="仿宋_GB2312" w:hAnsi="仿宋" w:eastAsia="仿宋_GB2312"/>
          <w:sz w:val="32"/>
          <w:szCs w:val="32"/>
        </w:rPr>
        <w:t>本办法所称的工疗人员（以下简称“学员”），是指具有广州市户籍，处于就业年龄段并能适应在康园工疗机构开展的相关活动及训练的智力、精神、重度肢体残疾及其他有需求的残疾人。</w:t>
      </w:r>
    </w:p>
    <w:bookmarkEnd w:id="4"/>
    <w:p>
      <w:pPr>
        <w:ind w:firstLine="626" w:firstLineChars="195"/>
        <w:rPr>
          <w:rFonts w:ascii="仿宋_GB2312" w:hAnsi="仿宋" w:eastAsia="仿宋_GB2312"/>
          <w:sz w:val="32"/>
          <w:szCs w:val="32"/>
        </w:rPr>
      </w:pPr>
      <w:bookmarkStart w:id="5" w:name="_Hlk64889310"/>
      <w:bookmarkStart w:id="6" w:name="_Hlk54727315"/>
      <w:r>
        <w:rPr>
          <w:rFonts w:hint="eastAsia" w:ascii="仿宋_GB2312" w:hAnsi="仿宋" w:eastAsia="仿宋_GB2312"/>
          <w:b/>
          <w:sz w:val="32"/>
          <w:szCs w:val="32"/>
        </w:rPr>
        <w:t>第五条</w:t>
      </w:r>
      <w:r>
        <w:rPr>
          <w:rFonts w:hint="eastAsia" w:ascii="仿宋_GB2312" w:hAnsi="仿宋" w:eastAsia="仿宋_GB2312"/>
          <w:sz w:val="32"/>
          <w:szCs w:val="32"/>
        </w:rPr>
        <w:t xml:space="preserve">  【</w:t>
      </w:r>
      <w:r>
        <w:rPr>
          <w:rFonts w:hint="eastAsia" w:ascii="仿宋_GB2312" w:hAnsi="仿宋" w:eastAsia="仿宋_GB2312"/>
          <w:b/>
          <w:bCs/>
          <w:sz w:val="32"/>
          <w:szCs w:val="32"/>
        </w:rPr>
        <w:t>工作人员</w:t>
      </w:r>
      <w:r>
        <w:rPr>
          <w:rFonts w:hint="eastAsia" w:ascii="仿宋_GB2312" w:hAnsi="仿宋" w:eastAsia="仿宋_GB2312"/>
          <w:sz w:val="32"/>
          <w:szCs w:val="32"/>
        </w:rPr>
        <w:t>】</w:t>
      </w:r>
    </w:p>
    <w:bookmarkEnd w:id="5"/>
    <w:p>
      <w:pPr>
        <w:ind w:firstLine="627" w:firstLineChars="196"/>
        <w:rPr>
          <w:rFonts w:ascii="仿宋_GB2312" w:hAnsi="仿宋" w:eastAsia="仿宋_GB2312"/>
          <w:sz w:val="32"/>
          <w:szCs w:val="32"/>
        </w:rPr>
      </w:pPr>
      <w:r>
        <w:rPr>
          <w:rFonts w:hint="eastAsia" w:ascii="仿宋_GB2312" w:hAnsi="仿宋" w:eastAsia="仿宋_GB2312"/>
          <w:sz w:val="32"/>
          <w:szCs w:val="32"/>
        </w:rPr>
        <w:t>1.本办法所称的工作人员，是指受聘于区康园中心，为学员提供具体服务及相关管理工作，具备相关从业经验或资质的专职或兼职工作人员。工作人员应牢固树立全心全意为残疾人服务的理念，恪守“人道、廉洁、服务、奉献”的职业道德，严格遵守本规范。</w:t>
      </w:r>
    </w:p>
    <w:p>
      <w:pPr>
        <w:ind w:firstLine="627" w:firstLineChars="196"/>
        <w:rPr>
          <w:rFonts w:ascii="仿宋_GB2312" w:hAnsi="仿宋" w:eastAsia="仿宋_GB2312"/>
          <w:sz w:val="32"/>
          <w:szCs w:val="32"/>
        </w:rPr>
      </w:pPr>
      <w:r>
        <w:rPr>
          <w:rFonts w:hint="eastAsia" w:ascii="仿宋_GB2312" w:hAnsi="仿宋" w:eastAsia="仿宋_GB2312"/>
          <w:sz w:val="32"/>
          <w:szCs w:val="32"/>
        </w:rPr>
        <w:t>2.工作人员可通过考取资格证书等方式取得资质，并由市残疾人就业培训服务中心审核。</w:t>
      </w:r>
    </w:p>
    <w:p>
      <w:pPr>
        <w:ind w:firstLine="630" w:firstLineChars="196"/>
        <w:rPr>
          <w:rFonts w:ascii="仿宋_GB2312" w:hAnsi="仿宋" w:eastAsia="仿宋_GB2312"/>
          <w:sz w:val="32"/>
          <w:szCs w:val="32"/>
        </w:rPr>
      </w:pPr>
      <w:r>
        <w:rPr>
          <w:rFonts w:hint="eastAsia" w:ascii="仿宋_GB2312" w:hAnsi="仿宋" w:eastAsia="仿宋_GB2312"/>
          <w:b/>
          <w:sz w:val="32"/>
          <w:szCs w:val="32"/>
        </w:rPr>
        <w:t>第六条</w:t>
      </w:r>
      <w:r>
        <w:rPr>
          <w:rFonts w:hint="eastAsia" w:ascii="仿宋_GB2312" w:hAnsi="仿宋" w:eastAsia="仿宋_GB2312"/>
          <w:sz w:val="32"/>
          <w:szCs w:val="32"/>
        </w:rPr>
        <w:t xml:space="preserve">  【</w:t>
      </w:r>
      <w:r>
        <w:rPr>
          <w:rFonts w:hint="eastAsia" w:ascii="仿宋_GB2312" w:hAnsi="仿宋" w:eastAsia="仿宋_GB2312"/>
          <w:b/>
          <w:bCs/>
          <w:sz w:val="32"/>
          <w:szCs w:val="32"/>
        </w:rPr>
        <w:t>规范性引用文件标准</w:t>
      </w:r>
      <w:r>
        <w:rPr>
          <w:rFonts w:hint="eastAsia" w:ascii="仿宋_GB2312" w:hAnsi="仿宋" w:eastAsia="仿宋_GB2312"/>
          <w:sz w:val="32"/>
          <w:szCs w:val="32"/>
        </w:rPr>
        <w:t>】</w:t>
      </w:r>
    </w:p>
    <w:p>
      <w:pPr>
        <w:ind w:firstLine="627" w:firstLineChars="196"/>
        <w:rPr>
          <w:rFonts w:ascii="仿宋_GB2312" w:hAnsi="仿宋" w:eastAsia="仿宋_GB2312"/>
          <w:sz w:val="32"/>
          <w:szCs w:val="32"/>
        </w:rPr>
      </w:pPr>
      <w:r>
        <w:rPr>
          <w:rFonts w:hint="eastAsia" w:ascii="仿宋_GB2312" w:hAnsi="仿宋" w:eastAsia="仿宋_GB2312"/>
          <w:sz w:val="32"/>
          <w:szCs w:val="32"/>
        </w:rPr>
        <w:t xml:space="preserve">下列文件中的标准通过文中的规范性引用而构成本文件必不可少的条款。其中，注日期的引用文件，仅该日期对应的版本适用于本文件；不注日期的引用文件，其最新版本（包括所有的修改单）适用于本文件。 </w:t>
      </w:r>
    </w:p>
    <w:p>
      <w:pPr>
        <w:ind w:firstLine="627" w:firstLineChars="196"/>
        <w:rPr>
          <w:rFonts w:ascii="仿宋_GB2312" w:hAnsi="仿宋" w:eastAsia="仿宋_GB2312"/>
          <w:sz w:val="32"/>
          <w:szCs w:val="32"/>
        </w:rPr>
      </w:pPr>
      <w:r>
        <w:rPr>
          <w:rFonts w:hint="eastAsia" w:ascii="仿宋_GB2312" w:hAnsi="仿宋" w:eastAsia="仿宋_GB2312"/>
          <w:sz w:val="32"/>
          <w:szCs w:val="32"/>
        </w:rPr>
        <w:t>1.GB/T 10001.9 标志用公共信息图形符号 第9部分：无障碍设施符号</w:t>
      </w:r>
    </w:p>
    <w:p>
      <w:pPr>
        <w:ind w:firstLine="627" w:firstLineChars="196"/>
        <w:rPr>
          <w:rFonts w:ascii="仿宋_GB2312" w:hAnsi="仿宋" w:eastAsia="仿宋_GB2312"/>
          <w:sz w:val="32"/>
          <w:szCs w:val="32"/>
        </w:rPr>
      </w:pPr>
      <w:r>
        <w:rPr>
          <w:rFonts w:hint="eastAsia" w:ascii="仿宋_GB2312" w:hAnsi="仿宋" w:eastAsia="仿宋_GB2312"/>
          <w:sz w:val="32"/>
          <w:szCs w:val="32"/>
        </w:rPr>
        <w:t>2.GB 15630 消防安全标志设置要求</w:t>
      </w:r>
    </w:p>
    <w:p>
      <w:pPr>
        <w:ind w:firstLine="627" w:firstLineChars="196"/>
        <w:rPr>
          <w:rFonts w:ascii="仿宋_GB2312" w:hAnsi="仿宋" w:eastAsia="仿宋_GB2312"/>
          <w:sz w:val="32"/>
          <w:szCs w:val="32"/>
        </w:rPr>
      </w:pPr>
      <w:r>
        <w:rPr>
          <w:rFonts w:hint="eastAsia" w:ascii="仿宋_GB2312" w:hAnsi="仿宋" w:eastAsia="仿宋_GB2312"/>
          <w:sz w:val="32"/>
          <w:szCs w:val="32"/>
        </w:rPr>
        <w:t>3.GB/T 26341—2010 残疾人残疾分类和分级</w:t>
      </w:r>
    </w:p>
    <w:p>
      <w:pPr>
        <w:ind w:firstLine="627" w:firstLineChars="196"/>
        <w:rPr>
          <w:rFonts w:ascii="仿宋_GB2312" w:hAnsi="仿宋" w:eastAsia="仿宋_GB2312"/>
          <w:sz w:val="32"/>
          <w:szCs w:val="32"/>
        </w:rPr>
      </w:pPr>
      <w:r>
        <w:rPr>
          <w:rFonts w:hint="eastAsia" w:ascii="仿宋_GB2312" w:hAnsi="仿宋" w:eastAsia="仿宋_GB2312"/>
          <w:sz w:val="32"/>
          <w:szCs w:val="32"/>
        </w:rPr>
        <w:t>4.GB/T 37516—2019 就业年龄段智力、精神及重度肢体残疾人托养服务规范</w:t>
      </w:r>
    </w:p>
    <w:p>
      <w:pPr>
        <w:ind w:firstLine="627" w:firstLineChars="196"/>
        <w:rPr>
          <w:rFonts w:ascii="仿宋_GB2312" w:hAnsi="仿宋" w:eastAsia="仿宋_GB2312"/>
          <w:sz w:val="32"/>
          <w:szCs w:val="32"/>
        </w:rPr>
      </w:pPr>
      <w:r>
        <w:rPr>
          <w:rFonts w:hint="eastAsia" w:ascii="仿宋_GB2312" w:hAnsi="仿宋" w:eastAsia="仿宋_GB2312"/>
          <w:sz w:val="32"/>
          <w:szCs w:val="32"/>
        </w:rPr>
        <w:t xml:space="preserve">5.GB 50300 建筑工程施工质量验收统一标准 </w:t>
      </w:r>
    </w:p>
    <w:p>
      <w:pPr>
        <w:ind w:firstLine="627" w:firstLineChars="196"/>
        <w:rPr>
          <w:rFonts w:ascii="仿宋_GB2312" w:hAnsi="仿宋" w:eastAsia="仿宋_GB2312"/>
          <w:sz w:val="32"/>
          <w:szCs w:val="32"/>
        </w:rPr>
      </w:pPr>
      <w:r>
        <w:rPr>
          <w:rFonts w:hint="eastAsia" w:ascii="仿宋_GB2312" w:hAnsi="仿宋" w:eastAsia="仿宋_GB2312"/>
          <w:sz w:val="32"/>
          <w:szCs w:val="32"/>
        </w:rPr>
        <w:t>6.GB 50763 无障碍设计规范 建标165 残疾人康复机构建设标准</w:t>
      </w:r>
    </w:p>
    <w:p>
      <w:pPr>
        <w:ind w:firstLine="627" w:firstLineChars="196"/>
        <w:rPr>
          <w:rFonts w:ascii="仿宋_GB2312" w:hAnsi="仿宋" w:eastAsia="仿宋_GB2312"/>
          <w:sz w:val="32"/>
          <w:szCs w:val="32"/>
        </w:rPr>
      </w:pPr>
      <w:r>
        <w:rPr>
          <w:rFonts w:hint="eastAsia" w:ascii="仿宋_GB2312" w:hAnsi="仿宋" w:eastAsia="仿宋_GB2312"/>
          <w:sz w:val="32"/>
          <w:szCs w:val="32"/>
        </w:rPr>
        <w:t>7.DB44/T 2256—2020 区康园中心服务规范</w:t>
      </w:r>
    </w:p>
    <w:p>
      <w:pPr>
        <w:ind w:firstLine="624"/>
        <w:jc w:val="center"/>
        <w:rPr>
          <w:rFonts w:ascii="仿宋_GB2312" w:hAnsi="黑体" w:eastAsia="仿宋_GB2312"/>
          <w:b/>
          <w:sz w:val="32"/>
          <w:szCs w:val="32"/>
        </w:rPr>
      </w:pPr>
    </w:p>
    <w:bookmarkEnd w:id="6"/>
    <w:p>
      <w:pPr>
        <w:ind w:firstLine="624"/>
        <w:jc w:val="center"/>
        <w:rPr>
          <w:rFonts w:ascii="仿宋_GB2312" w:hAnsi="宋体" w:eastAsia="仿宋_GB2312" w:cs="宋体"/>
          <w:sz w:val="32"/>
          <w:szCs w:val="32"/>
        </w:rPr>
      </w:pPr>
      <w:r>
        <w:rPr>
          <w:rFonts w:hint="eastAsia" w:ascii="仿宋_GB2312" w:hAnsi="宋体" w:eastAsia="仿宋_GB2312" w:cs="宋体"/>
          <w:b/>
          <w:sz w:val="32"/>
          <w:szCs w:val="32"/>
        </w:rPr>
        <w:t>第二章 机构设置</w:t>
      </w:r>
    </w:p>
    <w:p>
      <w:pPr>
        <w:ind w:firstLine="626" w:firstLineChars="195"/>
        <w:rPr>
          <w:rFonts w:ascii="仿宋_GB2312" w:hAnsi="仿宋" w:eastAsia="仿宋_GB2312"/>
          <w:sz w:val="32"/>
          <w:szCs w:val="32"/>
        </w:rPr>
      </w:pPr>
      <w:bookmarkStart w:id="7" w:name="_Hlk54727372"/>
      <w:r>
        <w:rPr>
          <w:rFonts w:hint="eastAsia" w:ascii="仿宋_GB2312" w:hAnsi="仿宋" w:eastAsia="仿宋_GB2312"/>
          <w:b/>
          <w:sz w:val="32"/>
          <w:szCs w:val="32"/>
        </w:rPr>
        <w:t xml:space="preserve">第七条  </w:t>
      </w:r>
      <w:r>
        <w:rPr>
          <w:rFonts w:hint="eastAsia" w:ascii="仿宋_GB2312" w:hAnsi="仿宋" w:eastAsia="仿宋_GB2312"/>
          <w:sz w:val="32"/>
          <w:szCs w:val="32"/>
        </w:rPr>
        <w:t>【</w:t>
      </w:r>
      <w:r>
        <w:rPr>
          <w:rFonts w:hint="eastAsia" w:ascii="仿宋_GB2312" w:hAnsi="仿宋" w:eastAsia="仿宋_GB2312"/>
          <w:b/>
          <w:bCs/>
          <w:sz w:val="32"/>
          <w:szCs w:val="32"/>
        </w:rPr>
        <w:t>站点设置及机构资质</w:t>
      </w:r>
      <w:r>
        <w:rPr>
          <w:rFonts w:hint="eastAsia" w:ascii="仿宋_GB2312" w:hAnsi="仿宋" w:eastAsia="仿宋_GB2312"/>
          <w:sz w:val="32"/>
          <w:szCs w:val="32"/>
        </w:rPr>
        <w:t>】</w:t>
      </w:r>
    </w:p>
    <w:p>
      <w:pPr>
        <w:ind w:firstLine="627" w:firstLineChars="196"/>
        <w:rPr>
          <w:rFonts w:ascii="仿宋_GB2312" w:hAnsi="仿宋" w:eastAsia="仿宋_GB2312"/>
          <w:sz w:val="32"/>
          <w:szCs w:val="32"/>
        </w:rPr>
      </w:pPr>
      <w:r>
        <w:rPr>
          <w:rFonts w:hint="eastAsia" w:ascii="仿宋_GB2312" w:hAnsi="仿宋" w:eastAsia="仿宋_GB2312"/>
          <w:bCs/>
          <w:sz w:val="32"/>
          <w:szCs w:val="32"/>
        </w:rPr>
        <w:t>1.</w:t>
      </w:r>
      <w:r>
        <w:rPr>
          <w:rFonts w:hint="eastAsia" w:ascii="仿宋_GB2312" w:hAnsi="仿宋" w:eastAsia="仿宋_GB2312"/>
          <w:sz w:val="32"/>
          <w:szCs w:val="32"/>
        </w:rPr>
        <w:t>区康园中心应依法依规登记注册。</w:t>
      </w:r>
    </w:p>
    <w:p>
      <w:pPr>
        <w:ind w:firstLine="640" w:firstLineChars="200"/>
        <w:rPr>
          <w:rFonts w:ascii="仿宋_GB2312" w:hAnsi="仿宋" w:eastAsia="仿宋_GB2312"/>
          <w:sz w:val="32"/>
          <w:szCs w:val="32"/>
        </w:rPr>
      </w:pPr>
      <w:r>
        <w:rPr>
          <w:rFonts w:hint="eastAsia" w:ascii="仿宋_GB2312" w:hAnsi="仿宋" w:eastAsia="仿宋_GB2312"/>
          <w:bCs/>
          <w:sz w:val="32"/>
          <w:szCs w:val="32"/>
        </w:rPr>
        <w:t>2.</w:t>
      </w:r>
      <w:r>
        <w:rPr>
          <w:rFonts w:hint="eastAsia" w:ascii="仿宋_GB2312" w:hAnsi="仿宋" w:eastAsia="仿宋_GB2312"/>
          <w:sz w:val="32"/>
          <w:szCs w:val="32"/>
        </w:rPr>
        <w:t>区康园中心负责辖区内街（镇）工疗站的组建和设置。原则上每个街（镇）至少设1个工疗站，作为区康园中心的服务点，有需求的街（镇）可增加设置，解决服务覆盖问题。</w:t>
      </w:r>
    </w:p>
    <w:bookmarkEnd w:id="7"/>
    <w:p>
      <w:pPr>
        <w:ind w:firstLine="630" w:firstLineChars="196"/>
        <w:rPr>
          <w:rFonts w:ascii="仿宋_GB2312" w:hAnsi="仿宋" w:eastAsia="仿宋_GB2312"/>
          <w:sz w:val="32"/>
          <w:szCs w:val="32"/>
        </w:rPr>
      </w:pPr>
      <w:bookmarkStart w:id="8" w:name="_Hlk54727453"/>
      <w:r>
        <w:rPr>
          <w:rFonts w:hint="eastAsia" w:ascii="仿宋_GB2312" w:hAnsi="仿宋" w:eastAsia="仿宋_GB2312"/>
          <w:b/>
          <w:sz w:val="32"/>
          <w:szCs w:val="32"/>
        </w:rPr>
        <w:t>第八条</w:t>
      </w:r>
      <w:bookmarkStart w:id="9" w:name="_Hlk54512568"/>
      <w:bookmarkStart w:id="10" w:name="_Hlk54513602"/>
      <w:r>
        <w:rPr>
          <w:rFonts w:hint="eastAsia" w:ascii="仿宋_GB2312" w:hAnsi="仿宋" w:eastAsia="仿宋_GB2312"/>
          <w:sz w:val="32"/>
          <w:szCs w:val="32"/>
        </w:rPr>
        <w:t>【</w:t>
      </w:r>
      <w:r>
        <w:rPr>
          <w:rFonts w:hint="eastAsia" w:ascii="仿宋_GB2312" w:hAnsi="仿宋" w:eastAsia="仿宋_GB2312"/>
          <w:b/>
          <w:bCs/>
          <w:sz w:val="32"/>
          <w:szCs w:val="32"/>
        </w:rPr>
        <w:t>场地设置</w:t>
      </w:r>
      <w:r>
        <w:rPr>
          <w:rFonts w:hint="eastAsia" w:ascii="仿宋_GB2312" w:hAnsi="仿宋" w:eastAsia="仿宋_GB2312"/>
          <w:sz w:val="32"/>
          <w:szCs w:val="32"/>
        </w:rPr>
        <w:t>】</w:t>
      </w:r>
    </w:p>
    <w:p>
      <w:pPr>
        <w:ind w:firstLine="627" w:firstLineChars="196"/>
        <w:rPr>
          <w:rFonts w:ascii="仿宋_GB2312" w:hAnsi="仿宋" w:eastAsia="仿宋_GB2312"/>
          <w:color w:val="000000"/>
          <w:sz w:val="32"/>
          <w:szCs w:val="32"/>
        </w:rPr>
      </w:pPr>
      <w:r>
        <w:rPr>
          <w:rFonts w:hint="eastAsia" w:ascii="仿宋_GB2312" w:hAnsi="仿宋" w:eastAsia="仿宋_GB2312"/>
          <w:color w:val="000000"/>
          <w:sz w:val="32"/>
          <w:szCs w:val="32"/>
        </w:rPr>
        <w:t>各级康园工疗机构场地的选址宜在方便残疾人出入的交通便利之处。</w:t>
      </w:r>
    </w:p>
    <w:p>
      <w:pPr>
        <w:ind w:firstLine="627" w:firstLineChars="196"/>
        <w:rPr>
          <w:rFonts w:ascii="仿宋_GB2312" w:hAnsi="仿宋" w:eastAsia="仿宋_GB2312"/>
          <w:color w:val="000000"/>
          <w:sz w:val="32"/>
          <w:szCs w:val="32"/>
        </w:rPr>
      </w:pPr>
      <w:r>
        <w:rPr>
          <w:rFonts w:hint="eastAsia" w:ascii="仿宋_GB2312" w:hAnsi="仿宋" w:eastAsia="仿宋_GB2312"/>
          <w:color w:val="000000"/>
          <w:sz w:val="32"/>
          <w:szCs w:val="32"/>
        </w:rPr>
        <w:t>1.区康园中心办公场地由区残联无偿提供，工疗站场地由所在街道（镇）无偿提供，都应达到可交付使用的状态。</w:t>
      </w:r>
    </w:p>
    <w:p>
      <w:pPr>
        <w:ind w:firstLine="627" w:firstLineChars="196"/>
        <w:rPr>
          <w:rFonts w:ascii="仿宋_GB2312" w:hAnsi="仿宋" w:eastAsia="仿宋_GB2312"/>
          <w:color w:val="000000"/>
          <w:sz w:val="32"/>
          <w:szCs w:val="32"/>
        </w:rPr>
      </w:pPr>
      <w:r>
        <w:rPr>
          <w:rFonts w:hint="eastAsia" w:ascii="仿宋_GB2312" w:hAnsi="仿宋" w:eastAsia="仿宋_GB2312"/>
          <w:color w:val="000000"/>
          <w:sz w:val="32"/>
          <w:szCs w:val="32"/>
        </w:rPr>
        <w:t>2.区康园中心建筑面积应不少于100</w:t>
      </w:r>
      <w:r>
        <w:rPr>
          <w:rFonts w:hint="eastAsia" w:ascii="仿宋_GB2312" w:hAnsi="仿宋" w:eastAsia="仿宋"/>
          <w:color w:val="000000"/>
          <w:sz w:val="32"/>
          <w:szCs w:val="32"/>
        </w:rPr>
        <w:t>㎡</w:t>
      </w:r>
      <w:r>
        <w:rPr>
          <w:rFonts w:hint="eastAsia" w:ascii="仿宋_GB2312" w:hAnsi="仿宋" w:eastAsia="仿宋_GB2312"/>
          <w:color w:val="000000"/>
          <w:sz w:val="32"/>
          <w:szCs w:val="32"/>
        </w:rPr>
        <w:t>。街道（乡镇）工疗站应满足学员人均建筑面积不少于5</w:t>
      </w:r>
      <w:r>
        <w:rPr>
          <w:rFonts w:hint="eastAsia" w:ascii="仿宋_GB2312" w:hAnsi="仿宋" w:eastAsia="仿宋"/>
          <w:color w:val="000000"/>
          <w:sz w:val="32"/>
          <w:szCs w:val="32"/>
        </w:rPr>
        <w:t>㎡</w:t>
      </w:r>
      <w:r>
        <w:rPr>
          <w:rFonts w:hint="eastAsia" w:ascii="仿宋_GB2312" w:hAnsi="仿宋" w:eastAsia="仿宋_GB2312"/>
          <w:color w:val="000000"/>
          <w:sz w:val="32"/>
          <w:szCs w:val="32"/>
        </w:rPr>
        <w:t>，实用面积不少于120</w:t>
      </w:r>
      <w:r>
        <w:rPr>
          <w:rFonts w:hint="eastAsia" w:ascii="仿宋_GB2312" w:hAnsi="仿宋" w:eastAsia="仿宋"/>
          <w:color w:val="000000"/>
          <w:sz w:val="32"/>
          <w:szCs w:val="32"/>
        </w:rPr>
        <w:t>㎡</w:t>
      </w:r>
      <w:r>
        <w:rPr>
          <w:rFonts w:hint="eastAsia" w:ascii="仿宋_GB2312" w:hAnsi="仿宋" w:eastAsia="仿宋_GB2312"/>
          <w:color w:val="000000"/>
          <w:sz w:val="32"/>
          <w:szCs w:val="32"/>
        </w:rPr>
        <w:t>（建筑面积为150</w:t>
      </w:r>
      <w:r>
        <w:rPr>
          <w:rFonts w:hint="eastAsia" w:ascii="仿宋_GB2312" w:hAnsi="仿宋" w:eastAsia="仿宋"/>
          <w:color w:val="000000"/>
          <w:sz w:val="32"/>
          <w:szCs w:val="32"/>
        </w:rPr>
        <w:t>㎡</w:t>
      </w:r>
      <w:r>
        <w:rPr>
          <w:rFonts w:hint="eastAsia" w:ascii="仿宋_GB2312" w:hAnsi="仿宋" w:eastAsia="仿宋_GB2312"/>
          <w:color w:val="000000"/>
          <w:sz w:val="32"/>
          <w:szCs w:val="32"/>
        </w:rPr>
        <w:t>），应设置与服务内容相应的功能区，具备提供服务的基本的设施设备，满足学员的需求；人数满30人的，相应提高场地面积。场所建设标准应符合GB 50763无障碍设计规范 建标165的规定，房屋建筑质量安全应符合 GB 50300的规定。</w:t>
      </w:r>
    </w:p>
    <w:p>
      <w:pPr>
        <w:ind w:firstLine="627" w:firstLineChars="196"/>
        <w:rPr>
          <w:rFonts w:ascii="仿宋_GB2312" w:hAnsi="仿宋" w:eastAsia="仿宋_GB2312"/>
          <w:color w:val="000000"/>
          <w:sz w:val="32"/>
          <w:szCs w:val="32"/>
        </w:rPr>
      </w:pPr>
      <w:r>
        <w:rPr>
          <w:rFonts w:hint="eastAsia" w:ascii="仿宋_GB2312" w:hAnsi="仿宋" w:eastAsia="仿宋_GB2312"/>
          <w:color w:val="000000"/>
          <w:sz w:val="32"/>
          <w:szCs w:val="32"/>
        </w:rPr>
        <w:t xml:space="preserve">3.工疗站场地设置要求房屋产权清晰、布局合理；室内通风、采光、照明符合福利设施使用要求；室内及周边环境清洁卫生，无污染；工疗站服务场地与其他福利机构共用场地的，其分摊的场地面积也不应低于上述标准。    </w:t>
      </w:r>
    </w:p>
    <w:p>
      <w:pPr>
        <w:ind w:firstLine="627" w:firstLineChars="196"/>
        <w:rPr>
          <w:rFonts w:ascii="仿宋_GB2312" w:hAnsi="仿宋" w:eastAsia="仿宋_GB2312"/>
          <w:color w:val="000000"/>
          <w:sz w:val="32"/>
          <w:szCs w:val="32"/>
        </w:rPr>
      </w:pPr>
      <w:r>
        <w:rPr>
          <w:rFonts w:hint="eastAsia" w:ascii="仿宋_GB2312" w:hAnsi="仿宋" w:eastAsia="仿宋_GB2312"/>
          <w:color w:val="000000"/>
          <w:sz w:val="32"/>
          <w:szCs w:val="32"/>
        </w:rPr>
        <w:t>4.工疗站场地存在租赁情况的，街道（镇）可作为承租方主体承租场地，并由街道（镇）承担租赁费用并按时支付，租赁时长不得少于3年。</w:t>
      </w:r>
    </w:p>
    <w:bookmarkEnd w:id="8"/>
    <w:bookmarkEnd w:id="9"/>
    <w:bookmarkEnd w:id="10"/>
    <w:p>
      <w:pPr>
        <w:ind w:firstLine="626" w:firstLineChars="195"/>
        <w:rPr>
          <w:rFonts w:ascii="仿宋_GB2312" w:hAnsi="仿宋" w:eastAsia="仿宋_GB2312"/>
          <w:sz w:val="32"/>
          <w:szCs w:val="32"/>
        </w:rPr>
      </w:pPr>
      <w:bookmarkStart w:id="11" w:name="_Hlk54727499"/>
      <w:r>
        <w:rPr>
          <w:rFonts w:hint="eastAsia" w:ascii="仿宋_GB2312" w:hAnsi="仿宋" w:eastAsia="仿宋_GB2312"/>
          <w:b/>
          <w:sz w:val="32"/>
          <w:szCs w:val="32"/>
        </w:rPr>
        <w:t>第九条</w:t>
      </w:r>
      <w:r>
        <w:rPr>
          <w:rFonts w:hint="eastAsia" w:ascii="仿宋_GB2312" w:hAnsi="仿宋" w:eastAsia="仿宋_GB2312"/>
          <w:sz w:val="32"/>
          <w:szCs w:val="32"/>
        </w:rPr>
        <w:t>【</w:t>
      </w:r>
      <w:r>
        <w:rPr>
          <w:rFonts w:hint="eastAsia" w:ascii="仿宋_GB2312" w:hAnsi="仿宋" w:eastAsia="仿宋_GB2312"/>
          <w:b/>
          <w:bCs/>
          <w:sz w:val="32"/>
          <w:szCs w:val="32"/>
        </w:rPr>
        <w:t>站内设施设备设置</w:t>
      </w:r>
      <w:r>
        <w:rPr>
          <w:rFonts w:hint="eastAsia" w:ascii="仿宋_GB2312" w:hAnsi="仿宋" w:eastAsia="仿宋_GB2312"/>
          <w:sz w:val="32"/>
          <w:szCs w:val="32"/>
        </w:rPr>
        <w:t>】</w:t>
      </w:r>
    </w:p>
    <w:p>
      <w:pPr>
        <w:ind w:firstLine="627" w:firstLineChars="196"/>
        <w:rPr>
          <w:rFonts w:ascii="仿宋_GB2312" w:hAnsi="仿宋" w:eastAsia="仿宋_GB2312"/>
          <w:sz w:val="32"/>
          <w:szCs w:val="32"/>
        </w:rPr>
      </w:pPr>
      <w:r>
        <w:rPr>
          <w:rFonts w:hint="eastAsia" w:ascii="仿宋_GB2312" w:hAnsi="仿宋" w:eastAsia="仿宋_GB2312"/>
          <w:sz w:val="32"/>
          <w:szCs w:val="32"/>
        </w:rPr>
        <w:t>1.工疗站内可结合实际条件设置若干功能区（室），包括娱（工）疗区、康体区、办公室、厨房餐厅、洗手间、档案室（柜）及设置无障碍设施，做到设施设备标识完善，保持干净整洁，保持通风良好、无异味；无障碍设施应符合GB 50763的有关规定、公共标识应符合 GB/T 10001.9 的有关规定。</w:t>
      </w:r>
    </w:p>
    <w:p>
      <w:pPr>
        <w:ind w:firstLine="627" w:firstLineChars="196"/>
        <w:rPr>
          <w:rFonts w:ascii="仿宋_GB2312" w:hAnsi="仿宋" w:eastAsia="仿宋_GB2312"/>
          <w:sz w:val="32"/>
          <w:szCs w:val="32"/>
        </w:rPr>
      </w:pPr>
      <w:r>
        <w:rPr>
          <w:rFonts w:hint="eastAsia" w:ascii="仿宋_GB2312" w:hAnsi="仿宋" w:eastAsia="仿宋_GB2312"/>
          <w:sz w:val="32"/>
          <w:szCs w:val="32"/>
        </w:rPr>
        <w:t>2.工疗站需配置相应的办公设施设备，包括（但不限于）：电脑、网线、打印机、空调、风扇、电视、多媒体、工作台椅、桌柜、教辅用具、康体设备、应急药箱。</w:t>
      </w:r>
    </w:p>
    <w:p>
      <w:pPr>
        <w:ind w:firstLine="627" w:firstLineChars="196"/>
        <w:rPr>
          <w:rFonts w:ascii="仿宋_GB2312" w:hAnsi="仿宋" w:eastAsia="仿宋_GB2312"/>
          <w:sz w:val="32"/>
          <w:szCs w:val="32"/>
        </w:rPr>
      </w:pPr>
      <w:r>
        <w:rPr>
          <w:rFonts w:hint="eastAsia" w:ascii="仿宋_GB2312" w:hAnsi="仿宋" w:eastAsia="仿宋_GB2312"/>
          <w:sz w:val="32"/>
          <w:szCs w:val="32"/>
        </w:rPr>
        <w:t>3.应配备预防控制蚊蝇、蟑螂、老鼠等病媒生物的设施设备及废弃物存放专用设施设备。应设置清洗、消毒、保洁、盥洗等设施设备。</w:t>
      </w:r>
    </w:p>
    <w:p>
      <w:pPr>
        <w:ind w:firstLine="627" w:firstLineChars="196"/>
        <w:rPr>
          <w:rFonts w:ascii="仿宋_GB2312" w:hAnsi="仿宋" w:eastAsia="仿宋_GB2312"/>
          <w:sz w:val="32"/>
          <w:szCs w:val="32"/>
        </w:rPr>
      </w:pPr>
      <w:r>
        <w:rPr>
          <w:rFonts w:hint="eastAsia" w:ascii="仿宋_GB2312" w:hAnsi="仿宋" w:eastAsia="仿宋_GB2312"/>
          <w:sz w:val="32"/>
          <w:szCs w:val="32"/>
        </w:rPr>
        <w:t>4.在公共区域安装实时监控装置，逐步推广应用独立感烟报警器，实现远程安全监控全覆盖，符合消防安全要求。消防安全应符合 GB 15630的有关规定。</w:t>
      </w:r>
    </w:p>
    <w:bookmarkEnd w:id="11"/>
    <w:p>
      <w:pPr>
        <w:ind w:firstLine="630" w:firstLineChars="196"/>
        <w:rPr>
          <w:rFonts w:ascii="仿宋_GB2312" w:hAnsi="仿宋" w:eastAsia="仿宋_GB2312"/>
          <w:sz w:val="32"/>
          <w:szCs w:val="32"/>
        </w:rPr>
      </w:pPr>
      <w:bookmarkStart w:id="12" w:name="_Hlk54727601"/>
      <w:r>
        <w:rPr>
          <w:rFonts w:hint="eastAsia" w:ascii="仿宋_GB2312" w:hAnsi="仿宋" w:eastAsia="仿宋_GB2312"/>
          <w:b/>
          <w:sz w:val="32"/>
          <w:szCs w:val="32"/>
        </w:rPr>
        <w:t>第十条</w:t>
      </w:r>
      <w:bookmarkStart w:id="13" w:name="_Hlk54727879"/>
      <w:bookmarkStart w:id="14" w:name="_Hlk54512929"/>
      <w:r>
        <w:rPr>
          <w:rFonts w:hint="eastAsia" w:ascii="仿宋_GB2312" w:hAnsi="仿宋" w:eastAsia="仿宋_GB2312"/>
          <w:sz w:val="32"/>
          <w:szCs w:val="32"/>
        </w:rPr>
        <w:t>【</w:t>
      </w:r>
      <w:r>
        <w:rPr>
          <w:rFonts w:hint="eastAsia" w:ascii="仿宋_GB2312" w:hAnsi="仿宋" w:eastAsia="仿宋_GB2312"/>
          <w:b/>
          <w:bCs/>
          <w:sz w:val="32"/>
          <w:szCs w:val="32"/>
        </w:rPr>
        <w:t>区康园中心人员配备</w:t>
      </w:r>
      <w:r>
        <w:rPr>
          <w:rFonts w:hint="eastAsia" w:ascii="仿宋_GB2312" w:hAnsi="仿宋" w:eastAsia="仿宋_GB2312"/>
          <w:sz w:val="32"/>
          <w:szCs w:val="32"/>
        </w:rPr>
        <w:t>】</w:t>
      </w:r>
    </w:p>
    <w:bookmarkEnd w:id="13"/>
    <w:p>
      <w:pPr>
        <w:ind w:firstLine="627" w:firstLineChars="196"/>
        <w:rPr>
          <w:rFonts w:ascii="仿宋_GB2312" w:hAnsi="仿宋" w:eastAsia="仿宋_GB2312"/>
          <w:sz w:val="32"/>
          <w:szCs w:val="32"/>
        </w:rPr>
      </w:pPr>
      <w:r>
        <w:rPr>
          <w:rFonts w:hint="eastAsia" w:ascii="仿宋_GB2312" w:hAnsi="仿宋" w:eastAsia="仿宋_GB2312"/>
          <w:sz w:val="32"/>
          <w:szCs w:val="32"/>
        </w:rPr>
        <w:t>1.区康园中心设主任1名，应配不少于4-6名专职工作人员（含主任）。专职工作人员应具有较强的沟通协调能力和相应的专业能力，其中至少2名为社工、康复、护理、职业培训等相关专业人员，专业人员应当持证上岗，在上岗前接受专业技能培训。</w:t>
      </w:r>
    </w:p>
    <w:p>
      <w:pPr>
        <w:ind w:firstLine="627" w:firstLineChars="196"/>
        <w:rPr>
          <w:rFonts w:ascii="仿宋_GB2312" w:hAnsi="仿宋" w:eastAsia="仿宋_GB2312"/>
          <w:sz w:val="32"/>
          <w:szCs w:val="32"/>
        </w:rPr>
      </w:pPr>
      <w:r>
        <w:rPr>
          <w:rFonts w:hint="eastAsia" w:ascii="仿宋_GB2312" w:hAnsi="仿宋" w:eastAsia="仿宋_GB2312"/>
          <w:sz w:val="32"/>
          <w:szCs w:val="32"/>
        </w:rPr>
        <w:t>2.区康园中心应在其专职工作人员范围内通过民主选举或推选等方式产生1名法定代表人或负责人。</w:t>
      </w:r>
    </w:p>
    <w:bookmarkEnd w:id="12"/>
    <w:bookmarkEnd w:id="14"/>
    <w:p>
      <w:pPr>
        <w:ind w:firstLine="630" w:firstLineChars="196"/>
        <w:rPr>
          <w:rFonts w:ascii="仿宋_GB2312" w:hAnsi="仿宋" w:eastAsia="仿宋_GB2312"/>
          <w:b/>
          <w:sz w:val="32"/>
          <w:szCs w:val="32"/>
        </w:rPr>
      </w:pPr>
      <w:bookmarkStart w:id="15" w:name="_Hlk54727817"/>
      <w:r>
        <w:rPr>
          <w:rFonts w:hint="eastAsia" w:ascii="仿宋_GB2312" w:hAnsi="仿宋" w:eastAsia="仿宋_GB2312"/>
          <w:b/>
          <w:sz w:val="32"/>
          <w:szCs w:val="32"/>
        </w:rPr>
        <w:t>第十一条  【工疗站人员配备】</w:t>
      </w:r>
    </w:p>
    <w:p>
      <w:pPr>
        <w:ind w:firstLine="627" w:firstLineChars="196"/>
        <w:rPr>
          <w:rFonts w:ascii="仿宋_GB2312" w:hAnsi="仿宋" w:eastAsia="仿宋_GB2312"/>
          <w:sz w:val="32"/>
          <w:szCs w:val="32"/>
        </w:rPr>
      </w:pPr>
      <w:r>
        <w:rPr>
          <w:rFonts w:hint="eastAsia" w:ascii="仿宋_GB2312" w:hAnsi="仿宋" w:eastAsia="仿宋_GB2312"/>
          <w:sz w:val="32"/>
          <w:szCs w:val="32"/>
        </w:rPr>
        <w:t>1.工疗站设站长1名，每个工疗站应按照工作人员与学员的比例不低于1:10的标准，配备不少于2名专职工作人员（含站长），其中至少1名为社工、康复、护理、职业培训等相关专业人员，鼓励兼职专业人员准入。</w:t>
      </w:r>
    </w:p>
    <w:p>
      <w:pPr>
        <w:ind w:firstLine="627" w:firstLineChars="196"/>
        <w:rPr>
          <w:rFonts w:ascii="仿宋_GB2312" w:hAnsi="仿宋" w:eastAsia="仿宋_GB2312"/>
          <w:sz w:val="32"/>
          <w:szCs w:val="32"/>
        </w:rPr>
      </w:pPr>
      <w:r>
        <w:rPr>
          <w:rFonts w:hint="eastAsia" w:ascii="仿宋_GB2312" w:hAnsi="仿宋" w:eastAsia="仿宋_GB2312"/>
          <w:sz w:val="32"/>
          <w:szCs w:val="32"/>
        </w:rPr>
        <w:t>2.专业人员应当持证上岗，上岗前接受专业技能培训；工作人员应熟悉残疾人托养服务、职业培训等相关政策，具备从事残疾人工作的职业素养。</w:t>
      </w:r>
    </w:p>
    <w:p>
      <w:pPr>
        <w:ind w:firstLine="627" w:firstLineChars="196"/>
        <w:rPr>
          <w:rFonts w:ascii="仿宋_GB2312" w:hAnsi="仿宋" w:eastAsia="仿宋_GB2312"/>
          <w:sz w:val="32"/>
          <w:szCs w:val="32"/>
        </w:rPr>
      </w:pPr>
      <w:r>
        <w:rPr>
          <w:rFonts w:hint="eastAsia" w:ascii="仿宋_GB2312" w:hAnsi="仿宋" w:eastAsia="仿宋_GB2312"/>
          <w:sz w:val="32"/>
          <w:szCs w:val="32"/>
        </w:rPr>
        <w:t>3.工作人员每年应参加1次以上的残疾人康复护理、服务管理或职业道德等相关业务培训。</w:t>
      </w:r>
    </w:p>
    <w:bookmarkEnd w:id="15"/>
    <w:p>
      <w:pPr>
        <w:rPr>
          <w:rFonts w:ascii="仿宋_GB2312" w:eastAsia="仿宋_GB2312"/>
          <w:sz w:val="32"/>
          <w:szCs w:val="32"/>
        </w:rPr>
      </w:pPr>
    </w:p>
    <w:p>
      <w:pPr>
        <w:numPr>
          <w:ilvl w:val="0"/>
          <w:numId w:val="5"/>
        </w:numPr>
        <w:jc w:val="center"/>
        <w:rPr>
          <w:rFonts w:ascii="仿宋_GB2312" w:hAnsi="宋体" w:eastAsia="仿宋_GB2312" w:cs="宋体"/>
          <w:b/>
          <w:sz w:val="32"/>
          <w:szCs w:val="32"/>
        </w:rPr>
      </w:pPr>
      <w:r>
        <w:rPr>
          <w:rFonts w:hint="eastAsia" w:ascii="仿宋_GB2312" w:hAnsi="宋体" w:eastAsia="仿宋_GB2312" w:cs="宋体"/>
          <w:b/>
          <w:sz w:val="32"/>
          <w:szCs w:val="32"/>
        </w:rPr>
        <w:t>制度建设</w:t>
      </w:r>
    </w:p>
    <w:p>
      <w:pPr>
        <w:ind w:firstLine="630" w:firstLineChars="196"/>
        <w:rPr>
          <w:rFonts w:ascii="仿宋_GB2312" w:hAnsi="仿宋" w:eastAsia="仿宋_GB2312"/>
          <w:b/>
          <w:sz w:val="32"/>
          <w:szCs w:val="32"/>
        </w:rPr>
      </w:pPr>
      <w:bookmarkStart w:id="16" w:name="_Hlk54729815"/>
      <w:r>
        <w:rPr>
          <w:rFonts w:hint="eastAsia" w:ascii="仿宋_GB2312" w:hAnsi="仿宋" w:eastAsia="仿宋_GB2312"/>
          <w:b/>
          <w:sz w:val="32"/>
          <w:szCs w:val="32"/>
        </w:rPr>
        <w:t>第十二条  【品牌管理】</w:t>
      </w:r>
    </w:p>
    <w:p>
      <w:pPr>
        <w:ind w:firstLine="627" w:firstLineChars="196"/>
        <w:rPr>
          <w:rFonts w:ascii="仿宋_GB2312" w:hAnsi="仿宋" w:eastAsia="仿宋_GB2312"/>
          <w:sz w:val="32"/>
          <w:szCs w:val="32"/>
        </w:rPr>
      </w:pPr>
      <w:r>
        <w:rPr>
          <w:rFonts w:hint="eastAsia" w:ascii="仿宋_GB2312" w:hAnsi="仿宋" w:eastAsia="仿宋_GB2312"/>
          <w:sz w:val="32"/>
          <w:szCs w:val="32"/>
        </w:rPr>
        <w:t>1.统一名称，统一使用“XX区康园中心/XX街道（镇）工疗站”品牌名称。</w:t>
      </w:r>
    </w:p>
    <w:p>
      <w:pPr>
        <w:ind w:firstLine="627" w:firstLineChars="196"/>
        <w:rPr>
          <w:rFonts w:ascii="仿宋_GB2312" w:hAnsi="仿宋" w:eastAsia="仿宋_GB2312"/>
          <w:sz w:val="32"/>
          <w:szCs w:val="32"/>
        </w:rPr>
      </w:pPr>
      <w:r>
        <w:rPr>
          <w:rFonts w:hint="eastAsia" w:ascii="仿宋_GB2312" w:hAnsi="仿宋" w:eastAsia="仿宋_GB2312"/>
          <w:sz w:val="32"/>
          <w:szCs w:val="32"/>
        </w:rPr>
        <w:t>2.统一标识，统一使用广东省DB44/T 2256—2020区康园中心服务规范附录A：“区康园中心的品牌标识”确定的广东省区康园中心视觉形象识别系统（VIS）样式，在区康园中心及工疗站的相关软件和硬件上广泛应用。</w:t>
      </w:r>
    </w:p>
    <w:p>
      <w:pPr>
        <w:ind w:firstLine="627" w:firstLineChars="196"/>
        <w:rPr>
          <w:rFonts w:ascii="仿宋_GB2312" w:hAnsi="仿宋" w:eastAsia="仿宋_GB2312"/>
          <w:sz w:val="32"/>
          <w:szCs w:val="32"/>
        </w:rPr>
      </w:pPr>
      <w:r>
        <w:rPr>
          <w:rFonts w:hint="eastAsia" w:ascii="仿宋_GB2312" w:hAnsi="仿宋" w:eastAsia="仿宋_GB2312"/>
          <w:sz w:val="32"/>
          <w:szCs w:val="32"/>
        </w:rPr>
        <w:t>3.宣传介绍，区康园中心及工疗站应结合自身条件，定期通过街头宣传、网络宣传等方式宣传介绍康园工疗机构性质宗旨、服务内容、使命愿景等，提升康园工疗机构社会知名度。</w:t>
      </w:r>
    </w:p>
    <w:bookmarkEnd w:id="16"/>
    <w:p>
      <w:pPr>
        <w:ind w:firstLine="630" w:firstLineChars="196"/>
        <w:rPr>
          <w:rFonts w:ascii="仿宋_GB2312" w:hAnsi="仿宋" w:eastAsia="仿宋_GB2312"/>
          <w:b/>
          <w:sz w:val="32"/>
          <w:szCs w:val="32"/>
        </w:rPr>
      </w:pPr>
      <w:bookmarkStart w:id="17" w:name="_Hlk54732371"/>
      <w:bookmarkStart w:id="18" w:name="_Hlk54729968"/>
      <w:r>
        <w:rPr>
          <w:rFonts w:hint="eastAsia" w:ascii="仿宋_GB2312" w:hAnsi="仿宋" w:eastAsia="仿宋_GB2312"/>
          <w:b/>
          <w:sz w:val="32"/>
          <w:szCs w:val="32"/>
        </w:rPr>
        <w:t>第十三条  【工作人员聘用及岗位责任制度】</w:t>
      </w:r>
    </w:p>
    <w:p>
      <w:pPr>
        <w:ind w:firstLine="627" w:firstLineChars="196"/>
        <w:rPr>
          <w:rFonts w:ascii="仿宋_GB2312" w:hAnsi="仿宋" w:eastAsia="仿宋_GB2312"/>
          <w:bCs/>
          <w:color w:val="FF0000"/>
          <w:sz w:val="32"/>
          <w:szCs w:val="32"/>
        </w:rPr>
      </w:pPr>
      <w:r>
        <w:rPr>
          <w:rFonts w:hint="eastAsia" w:ascii="仿宋_GB2312" w:hAnsi="仿宋" w:eastAsia="仿宋_GB2312"/>
          <w:bCs/>
          <w:sz w:val="32"/>
          <w:szCs w:val="32"/>
        </w:rPr>
        <w:t>1.区康园中心应当依法公开、平等、竞争、择优的方法聘用各级康园工疗机构工作人员，并与工作人员签订聘用合同，明确工作人员的岗位职责、服务内容及工作流程。</w:t>
      </w:r>
    </w:p>
    <w:p>
      <w:pPr>
        <w:ind w:firstLine="627" w:firstLineChars="196"/>
        <w:rPr>
          <w:rFonts w:ascii="仿宋_GB2312" w:hAnsi="仿宋" w:eastAsia="仿宋_GB2312"/>
          <w:sz w:val="32"/>
          <w:szCs w:val="32"/>
        </w:rPr>
      </w:pPr>
      <w:r>
        <w:rPr>
          <w:rFonts w:hint="eastAsia" w:ascii="仿宋_GB2312" w:hAnsi="仿宋" w:eastAsia="仿宋_GB2312"/>
          <w:bCs/>
          <w:sz w:val="32"/>
          <w:szCs w:val="32"/>
        </w:rPr>
        <w:t>2.区康园中心及工疗站实行岗位责任制，</w:t>
      </w:r>
      <w:r>
        <w:rPr>
          <w:rFonts w:hint="eastAsia" w:ascii="仿宋_GB2312" w:hAnsi="仿宋" w:eastAsia="仿宋_GB2312"/>
          <w:sz w:val="32"/>
          <w:szCs w:val="32"/>
        </w:rPr>
        <w:t>明确工作人员的权利、义务和职责分工，建立工作人员考勤、培训、考核等事项的管理制度。</w:t>
      </w:r>
    </w:p>
    <w:bookmarkEnd w:id="17"/>
    <w:p>
      <w:pPr>
        <w:ind w:firstLine="630" w:firstLineChars="196"/>
        <w:rPr>
          <w:rFonts w:ascii="仿宋_GB2312" w:hAnsi="仿宋" w:eastAsia="仿宋_GB2312"/>
          <w:b/>
          <w:sz w:val="32"/>
          <w:szCs w:val="32"/>
        </w:rPr>
      </w:pPr>
      <w:r>
        <w:rPr>
          <w:rFonts w:hint="eastAsia" w:ascii="仿宋_GB2312" w:hAnsi="仿宋" w:eastAsia="仿宋_GB2312"/>
          <w:b/>
          <w:sz w:val="32"/>
          <w:szCs w:val="32"/>
        </w:rPr>
        <w:t xml:space="preserve">第十四条  </w:t>
      </w:r>
      <w:bookmarkStart w:id="19" w:name="_Hlk54623851"/>
      <w:r>
        <w:rPr>
          <w:rFonts w:hint="eastAsia" w:ascii="仿宋_GB2312" w:hAnsi="仿宋" w:eastAsia="仿宋_GB2312"/>
          <w:b/>
          <w:sz w:val="32"/>
          <w:szCs w:val="32"/>
        </w:rPr>
        <w:t>【工作人员培训制度】</w:t>
      </w:r>
    </w:p>
    <w:bookmarkEnd w:id="19"/>
    <w:p>
      <w:pPr>
        <w:ind w:firstLine="627" w:firstLineChars="196"/>
        <w:rPr>
          <w:rFonts w:ascii="仿宋_GB2312" w:hAnsi="仿宋" w:eastAsia="仿宋_GB2312"/>
          <w:sz w:val="32"/>
          <w:szCs w:val="32"/>
        </w:rPr>
      </w:pPr>
      <w:r>
        <w:rPr>
          <w:rFonts w:hint="eastAsia" w:ascii="仿宋_GB2312" w:hAnsi="仿宋" w:eastAsia="仿宋_GB2312"/>
          <w:sz w:val="32"/>
          <w:szCs w:val="32"/>
        </w:rPr>
        <w:t>区康园中心每年要组织辖区内工疗站工作人员开展业务培训1-2次，不断提高工作人员的专业素质能力、专业服务能力和管理能力。鼓励各区康园中心间每年协调组织举行至少1次服务、就业、应急处理等经验交流互助分享会，促进工作人员经验及技能增长。</w:t>
      </w:r>
    </w:p>
    <w:p>
      <w:pPr>
        <w:ind w:firstLine="630" w:firstLineChars="196"/>
        <w:rPr>
          <w:rFonts w:ascii="仿宋_GB2312" w:hAnsi="仿宋" w:eastAsia="仿宋_GB2312"/>
          <w:b/>
          <w:sz w:val="32"/>
          <w:szCs w:val="32"/>
        </w:rPr>
      </w:pPr>
      <w:bookmarkStart w:id="20" w:name="_Hlk54732680"/>
      <w:r>
        <w:rPr>
          <w:rFonts w:hint="eastAsia" w:ascii="仿宋_GB2312" w:hAnsi="仿宋" w:eastAsia="仿宋_GB2312"/>
          <w:b/>
          <w:sz w:val="32"/>
          <w:szCs w:val="32"/>
        </w:rPr>
        <w:t>第十五条  【工作人员考核制度】</w:t>
      </w:r>
    </w:p>
    <w:p>
      <w:pPr>
        <w:ind w:firstLine="627" w:firstLineChars="196"/>
        <w:rPr>
          <w:rFonts w:ascii="仿宋_GB2312" w:hAnsi="仿宋" w:eastAsia="仿宋_GB2312"/>
          <w:sz w:val="32"/>
          <w:szCs w:val="32"/>
        </w:rPr>
      </w:pPr>
      <w:r>
        <w:rPr>
          <w:rFonts w:hint="eastAsia" w:ascii="仿宋_GB2312" w:hAnsi="仿宋" w:eastAsia="仿宋_GB2312"/>
          <w:sz w:val="32"/>
          <w:szCs w:val="32"/>
        </w:rPr>
        <w:t>各区根据不同情况设计相应的考核标准，区康园中心及工疗站要明确工作人员岗位职责和工作纪律（工作规范、品德规范、纪律规范），每季小结一次，全年考评一次，并于年终进行机构年度总结考核工作（工作表格另附）</w:t>
      </w:r>
      <w:r>
        <w:rPr>
          <w:rFonts w:hint="eastAsia" w:ascii="仿宋_GB2312" w:hAnsi="仿宋" w:eastAsia="仿宋_GB2312"/>
          <w:color w:val="000000" w:themeColor="text1"/>
          <w:sz w:val="32"/>
          <w:szCs w:val="32"/>
        </w:rPr>
        <w:t>，对工作优秀的员工进行奖励。</w:t>
      </w:r>
      <w:r>
        <w:rPr>
          <w:rFonts w:hint="eastAsia" w:ascii="仿宋_GB2312" w:hAnsi="仿宋" w:eastAsia="仿宋_GB2312"/>
          <w:sz w:val="32"/>
          <w:szCs w:val="32"/>
        </w:rPr>
        <w:t>同时每年至少应召开一次监护人会议，征求意见，提出整改计划；工疗站考核工作由区康园中心负责组织实施。</w:t>
      </w:r>
    </w:p>
    <w:bookmarkEnd w:id="20"/>
    <w:p>
      <w:pPr>
        <w:ind w:firstLine="643" w:firstLineChars="200"/>
        <w:rPr>
          <w:rFonts w:ascii="仿宋_GB2312" w:hAnsi="仿宋" w:eastAsia="仿宋_GB2312"/>
          <w:b/>
          <w:sz w:val="32"/>
          <w:szCs w:val="32"/>
        </w:rPr>
      </w:pPr>
      <w:bookmarkStart w:id="21" w:name="_Hlk54732737"/>
      <w:r>
        <w:rPr>
          <w:rFonts w:hint="eastAsia" w:ascii="仿宋_GB2312" w:hAnsi="仿宋" w:eastAsia="仿宋_GB2312"/>
          <w:b/>
          <w:sz w:val="32"/>
          <w:szCs w:val="32"/>
        </w:rPr>
        <w:t>第十六条  【学员管理制度】</w:t>
      </w:r>
    </w:p>
    <w:p>
      <w:pPr>
        <w:ind w:firstLine="640" w:firstLineChars="200"/>
        <w:rPr>
          <w:rFonts w:ascii="仿宋_GB2312" w:hAnsi="仿宋" w:eastAsia="仿宋_GB2312"/>
          <w:sz w:val="32"/>
          <w:szCs w:val="32"/>
        </w:rPr>
      </w:pPr>
      <w:r>
        <w:rPr>
          <w:rFonts w:hint="eastAsia" w:ascii="仿宋_GB2312" w:hAnsi="仿宋" w:eastAsia="仿宋_GB2312"/>
          <w:sz w:val="32"/>
          <w:szCs w:val="32"/>
        </w:rPr>
        <w:t>1.实施学员出入登记制度，学员每天填写签到、签退记录表，发现异常记录时及时报告。应为学员准备便于随身携带、注明姓名与工疗站联系方式的标识或卡片。组织学员开展外出活动前应与其家属或监护人沟通并征得同意。应考虑学员特点，采取必要措施保障学员的人身安全。</w:t>
      </w:r>
    </w:p>
    <w:p>
      <w:pPr>
        <w:ind w:firstLine="640" w:firstLineChars="200"/>
        <w:rPr>
          <w:rFonts w:ascii="仿宋_GB2312" w:hAnsi="仿宋" w:eastAsia="仿宋_GB2312"/>
          <w:sz w:val="32"/>
          <w:szCs w:val="32"/>
        </w:rPr>
      </w:pPr>
      <w:r>
        <w:rPr>
          <w:rFonts w:hint="eastAsia" w:ascii="仿宋_GB2312" w:hAnsi="仿宋" w:eastAsia="仿宋_GB2312"/>
          <w:sz w:val="32"/>
          <w:szCs w:val="32"/>
        </w:rPr>
        <w:t>2．实施学员考勤制度，工疗站工作人员要做好学员每天到站考勤，设签到表（见附件4）分上、下午签到，并将每天到站情况登录月度考勤表（工作表格另附），学员年平均到站率不低于70%。</w:t>
      </w:r>
    </w:p>
    <w:p>
      <w:pPr>
        <w:ind w:firstLine="640" w:firstLineChars="200"/>
        <w:rPr>
          <w:rFonts w:ascii="仿宋_GB2312" w:hAnsi="仿宋" w:eastAsia="仿宋_GB2312"/>
          <w:sz w:val="32"/>
          <w:szCs w:val="32"/>
        </w:rPr>
      </w:pPr>
      <w:r>
        <w:rPr>
          <w:rFonts w:hint="eastAsia" w:ascii="仿宋_GB2312" w:hAnsi="仿宋" w:eastAsia="仿宋_GB2312"/>
          <w:sz w:val="32"/>
          <w:szCs w:val="32"/>
        </w:rPr>
        <w:t>3.实施学员健康管理制度，包括为学员定期体检、持续晨检、体育锻炼、饮食控制、药物管理等。</w:t>
      </w:r>
    </w:p>
    <w:bookmarkEnd w:id="21"/>
    <w:p>
      <w:pPr>
        <w:ind w:firstLine="630" w:firstLineChars="196"/>
        <w:rPr>
          <w:rFonts w:ascii="仿宋_GB2312" w:hAnsi="仿宋" w:eastAsia="仿宋_GB2312"/>
          <w:b/>
          <w:sz w:val="32"/>
          <w:szCs w:val="32"/>
        </w:rPr>
      </w:pPr>
      <w:r>
        <w:rPr>
          <w:rFonts w:hint="eastAsia" w:ascii="仿宋_GB2312" w:hAnsi="仿宋" w:eastAsia="仿宋_GB2312"/>
          <w:b/>
          <w:sz w:val="32"/>
          <w:szCs w:val="32"/>
        </w:rPr>
        <w:t>第十七条  【财务制度】</w:t>
      </w:r>
    </w:p>
    <w:p>
      <w:pPr>
        <w:ind w:firstLine="627" w:firstLineChars="196"/>
        <w:rPr>
          <w:rFonts w:ascii="仿宋_GB2312" w:hAnsi="仿宋" w:eastAsia="仿宋_GB2312"/>
          <w:sz w:val="32"/>
          <w:szCs w:val="32"/>
        </w:rPr>
      </w:pPr>
      <w:r>
        <w:rPr>
          <w:rFonts w:hint="eastAsia" w:ascii="仿宋_GB2312" w:hAnsi="仿宋" w:eastAsia="仿宋_GB2312"/>
          <w:sz w:val="32"/>
          <w:szCs w:val="32"/>
        </w:rPr>
        <w:t>1.</w:t>
      </w:r>
      <w:bookmarkStart w:id="22" w:name="_Hlk64900694"/>
      <w:r>
        <w:rPr>
          <w:rFonts w:hint="eastAsia" w:ascii="仿宋_GB2312" w:hAnsi="仿宋" w:eastAsia="仿宋_GB2312"/>
          <w:sz w:val="32"/>
          <w:szCs w:val="32"/>
        </w:rPr>
        <w:t>区康园中心应建立财务管理制度，依法建立会计账簿并对本区康园工疗机构进行会计核算，定期进行审计，资金财产、凭证、单据、账目齐全，符合规定，财务报表定期公开。</w:t>
      </w:r>
    </w:p>
    <w:p>
      <w:pPr>
        <w:ind w:firstLine="640" w:firstLineChars="200"/>
        <w:rPr>
          <w:rFonts w:ascii="仿宋_GB2312" w:hAnsi="仿宋" w:eastAsia="仿宋_GB2312"/>
          <w:sz w:val="32"/>
          <w:szCs w:val="32"/>
        </w:rPr>
      </w:pPr>
      <w:r>
        <w:rPr>
          <w:rFonts w:hint="eastAsia" w:ascii="仿宋_GB2312" w:hAnsi="仿宋" w:eastAsia="仿宋_GB2312"/>
          <w:sz w:val="32"/>
          <w:szCs w:val="32"/>
        </w:rPr>
        <w:t>2.区康园中心应建立固定资产管理制度，对物资的购置、领用、借出、保养和报废等进行登记管理。</w:t>
      </w:r>
    </w:p>
    <w:p>
      <w:pPr>
        <w:ind w:firstLine="640" w:firstLineChars="200"/>
        <w:rPr>
          <w:rFonts w:ascii="仿宋_GB2312" w:hAnsi="仿宋" w:eastAsia="仿宋_GB2312"/>
          <w:sz w:val="32"/>
          <w:szCs w:val="32"/>
        </w:rPr>
      </w:pPr>
      <w:r>
        <w:rPr>
          <w:rFonts w:hint="eastAsia" w:ascii="仿宋_GB2312" w:hAnsi="仿宋" w:eastAsia="仿宋_GB2312"/>
          <w:sz w:val="32"/>
          <w:szCs w:val="32"/>
        </w:rPr>
        <w:t>3.区康园中心应建立财务报告制度，按要求向行政业务主管单位或购买服务主体提供资金的使用情况、项目执行情况、绩效报告等材料。</w:t>
      </w:r>
    </w:p>
    <w:p>
      <w:pPr>
        <w:ind w:firstLine="640" w:firstLineChars="200"/>
        <w:rPr>
          <w:rFonts w:ascii="仿宋_GB2312" w:hAnsi="仿宋" w:eastAsia="仿宋_GB2312"/>
          <w:sz w:val="32"/>
          <w:szCs w:val="32"/>
        </w:rPr>
      </w:pPr>
      <w:r>
        <w:rPr>
          <w:rFonts w:hint="eastAsia" w:ascii="仿宋_GB2312" w:hAnsi="仿宋" w:eastAsia="仿宋_GB2312"/>
          <w:sz w:val="32"/>
          <w:szCs w:val="32"/>
        </w:rPr>
        <w:t>4.接受社会捐赠、政府补助的，应当专款专用，并有详尽的使用记录，区康园中心应公开接受捐赠的情况和受赠资产使用、管理情况，接受上级部门监管。</w:t>
      </w:r>
    </w:p>
    <w:bookmarkEnd w:id="18"/>
    <w:bookmarkEnd w:id="22"/>
    <w:p>
      <w:pPr>
        <w:ind w:firstLine="630" w:firstLineChars="196"/>
        <w:rPr>
          <w:rFonts w:ascii="仿宋_GB2312" w:hAnsi="仿宋" w:eastAsia="仿宋_GB2312"/>
          <w:b/>
          <w:sz w:val="32"/>
          <w:szCs w:val="32"/>
        </w:rPr>
      </w:pPr>
      <w:bookmarkStart w:id="23" w:name="_Hlk54731224"/>
      <w:r>
        <w:rPr>
          <w:rFonts w:hint="eastAsia" w:ascii="仿宋_GB2312" w:hAnsi="仿宋" w:eastAsia="仿宋_GB2312"/>
          <w:b/>
          <w:sz w:val="32"/>
          <w:szCs w:val="32"/>
        </w:rPr>
        <w:t>第十八条【花名册制度】</w:t>
      </w:r>
    </w:p>
    <w:p>
      <w:pPr>
        <w:ind w:firstLine="627" w:firstLineChars="196"/>
        <w:rPr>
          <w:rFonts w:ascii="仿宋_GB2312" w:hAnsi="仿宋" w:eastAsia="仿宋_GB2312"/>
          <w:sz w:val="32"/>
          <w:szCs w:val="32"/>
        </w:rPr>
      </w:pPr>
      <w:r>
        <w:rPr>
          <w:rFonts w:hint="eastAsia" w:ascii="仿宋_GB2312" w:hAnsi="仿宋" w:eastAsia="仿宋_GB2312"/>
          <w:sz w:val="32"/>
          <w:szCs w:val="32"/>
        </w:rPr>
        <w:t>工疗站要将入站学员基本信息资料列表制作《花名册》（见附件3），发生变动时应及时修改补充，并上传“广东省残疾人托养（区康园中心）信息管理系统”。</w:t>
      </w:r>
    </w:p>
    <w:bookmarkEnd w:id="23"/>
    <w:p>
      <w:pPr>
        <w:ind w:firstLine="630" w:firstLineChars="196"/>
        <w:rPr>
          <w:rFonts w:ascii="仿宋_GB2312" w:hAnsi="仿宋" w:eastAsia="仿宋_GB2312"/>
          <w:b/>
          <w:sz w:val="32"/>
          <w:szCs w:val="32"/>
        </w:rPr>
      </w:pPr>
      <w:bookmarkStart w:id="24" w:name="_Hlk54731455"/>
      <w:r>
        <w:rPr>
          <w:rFonts w:hint="eastAsia" w:ascii="仿宋_GB2312" w:hAnsi="仿宋" w:eastAsia="仿宋_GB2312"/>
          <w:b/>
          <w:sz w:val="32"/>
          <w:szCs w:val="32"/>
        </w:rPr>
        <w:t>第十九条  【档案制度】</w:t>
      </w:r>
    </w:p>
    <w:p>
      <w:pPr>
        <w:ind w:firstLine="627" w:firstLineChars="196"/>
        <w:rPr>
          <w:rFonts w:ascii="仿宋_GB2312" w:hAnsi="仿宋" w:eastAsia="仿宋_GB2312"/>
          <w:sz w:val="32"/>
          <w:szCs w:val="32"/>
        </w:rPr>
      </w:pPr>
      <w:r>
        <w:rPr>
          <w:rFonts w:hint="eastAsia" w:ascii="仿宋_GB2312" w:hAnsi="仿宋" w:eastAsia="仿宋_GB2312"/>
          <w:sz w:val="32"/>
          <w:szCs w:val="32"/>
        </w:rPr>
        <w:t>1.区康园中心及工疗站应建立相应档案管理制度，按照不同类别、载体和保管期限对档案材料进行编号及编制档案封面，并按规定次序定期整理归档，档案分为管理档案、服务档案和学员个人档案。</w:t>
      </w:r>
    </w:p>
    <w:p>
      <w:pPr>
        <w:ind w:firstLine="627" w:firstLineChars="196"/>
        <w:rPr>
          <w:rFonts w:ascii="仿宋_GB2312" w:hAnsi="仿宋" w:eastAsia="仿宋_GB2312"/>
          <w:sz w:val="32"/>
          <w:szCs w:val="32"/>
        </w:rPr>
      </w:pPr>
      <w:r>
        <w:rPr>
          <w:rFonts w:hint="eastAsia" w:ascii="仿宋_GB2312" w:hAnsi="仿宋" w:eastAsia="仿宋_GB2312"/>
          <w:sz w:val="32"/>
          <w:szCs w:val="32"/>
        </w:rPr>
        <w:t>2.管理档案包括（但不限于）区康园中心及工疗站工作人员信息、政策法规、管理制度、工作计划与总结、志愿者团队或个人登记管理等。</w:t>
      </w:r>
    </w:p>
    <w:p>
      <w:pPr>
        <w:ind w:firstLine="627" w:firstLineChars="196"/>
        <w:rPr>
          <w:rFonts w:ascii="仿宋_GB2312" w:hAnsi="仿宋" w:eastAsia="仿宋_GB2312"/>
          <w:sz w:val="32"/>
          <w:szCs w:val="32"/>
        </w:rPr>
      </w:pPr>
      <w:r>
        <w:rPr>
          <w:rFonts w:hint="eastAsia" w:ascii="仿宋_GB2312" w:hAnsi="仿宋" w:eastAsia="仿宋_GB2312"/>
          <w:sz w:val="32"/>
          <w:szCs w:val="32"/>
        </w:rPr>
        <w:t>3.服务档案包括（但不限于）学员花名册、个人情况及计划、服务项目、服务记录、服务成效评估等服务资料。</w:t>
      </w:r>
    </w:p>
    <w:p>
      <w:pPr>
        <w:ind w:firstLine="627" w:firstLineChars="196"/>
        <w:rPr>
          <w:rFonts w:ascii="仿宋_GB2312" w:hAnsi="仿宋" w:eastAsia="仿宋_GB2312"/>
          <w:sz w:val="32"/>
          <w:szCs w:val="32"/>
        </w:rPr>
      </w:pPr>
      <w:r>
        <w:rPr>
          <w:rFonts w:hint="eastAsia" w:ascii="仿宋_GB2312" w:hAnsi="仿宋" w:eastAsia="仿宋_GB2312"/>
          <w:sz w:val="32"/>
          <w:szCs w:val="32"/>
        </w:rPr>
        <w:t>4.学员个人档案应一人一档，包括（但不限于）以下资料：</w:t>
      </w:r>
    </w:p>
    <w:p>
      <w:pPr>
        <w:ind w:firstLine="627" w:firstLineChars="196"/>
        <w:rPr>
          <w:rFonts w:ascii="仿宋_GB2312" w:hAnsi="仿宋" w:eastAsia="仿宋_GB2312"/>
          <w:sz w:val="32"/>
          <w:szCs w:val="32"/>
        </w:rPr>
      </w:pPr>
      <w:r>
        <w:rPr>
          <w:rFonts w:hint="eastAsia" w:ascii="仿宋_GB2312" w:hAnsi="仿宋" w:eastAsia="仿宋_GB2312"/>
          <w:sz w:val="32"/>
          <w:szCs w:val="32"/>
        </w:rPr>
        <w:t>1）基本资料：如服务申请表、服务协议、家属联络簿、残疾证复印件、体检报告复印件、病历本和精神类学员的病情稳定证明等；</w:t>
      </w:r>
    </w:p>
    <w:p>
      <w:pPr>
        <w:ind w:firstLine="627" w:firstLineChars="196"/>
        <w:rPr>
          <w:rFonts w:ascii="仿宋_GB2312" w:hAnsi="仿宋" w:eastAsia="仿宋_GB2312"/>
          <w:sz w:val="32"/>
          <w:szCs w:val="32"/>
        </w:rPr>
      </w:pPr>
      <w:r>
        <w:rPr>
          <w:rFonts w:hint="eastAsia" w:ascii="仿宋_GB2312" w:hAnsi="仿宋" w:eastAsia="仿宋_GB2312"/>
          <w:sz w:val="32"/>
          <w:szCs w:val="32"/>
        </w:rPr>
        <w:t>2）服务资料：服务项目、服务记录、服务成效、学员个人情况及计划、各阶段适应性、服务成效评估记录等；</w:t>
      </w:r>
    </w:p>
    <w:p>
      <w:pPr>
        <w:ind w:firstLine="627" w:firstLineChars="196"/>
        <w:rPr>
          <w:rFonts w:ascii="仿宋_GB2312" w:hAnsi="仿宋" w:eastAsia="仿宋_GB2312"/>
          <w:sz w:val="32"/>
          <w:szCs w:val="32"/>
        </w:rPr>
      </w:pPr>
      <w:r>
        <w:rPr>
          <w:rFonts w:hint="eastAsia" w:ascii="仿宋_GB2312" w:hAnsi="仿宋" w:eastAsia="仿宋_GB2312"/>
          <w:sz w:val="32"/>
          <w:szCs w:val="32"/>
        </w:rPr>
        <w:t>3）其它资料。</w:t>
      </w:r>
    </w:p>
    <w:p>
      <w:pPr>
        <w:ind w:firstLine="627" w:firstLineChars="196"/>
        <w:rPr>
          <w:rFonts w:ascii="仿宋_GB2312" w:hAnsi="仿宋" w:eastAsia="仿宋_GB2312"/>
          <w:sz w:val="32"/>
          <w:szCs w:val="32"/>
        </w:rPr>
      </w:pPr>
      <w:r>
        <w:rPr>
          <w:rFonts w:hint="eastAsia" w:ascii="仿宋_GB2312" w:hAnsi="仿宋" w:eastAsia="仿宋_GB2312"/>
          <w:sz w:val="32"/>
          <w:szCs w:val="32"/>
        </w:rPr>
        <w:t>5.档案资料保存应当遵循保密原则，不得随意公开，及时录入“广东省残疾人托养（区康园中心）信息管理系统”。</w:t>
      </w:r>
    </w:p>
    <w:bookmarkEnd w:id="24"/>
    <w:p>
      <w:pPr>
        <w:ind w:firstLine="630" w:firstLineChars="196"/>
        <w:rPr>
          <w:rFonts w:ascii="仿宋_GB2312" w:hAnsi="仿宋" w:eastAsia="仿宋_GB2312"/>
          <w:b/>
          <w:sz w:val="32"/>
          <w:szCs w:val="32"/>
        </w:rPr>
      </w:pPr>
      <w:bookmarkStart w:id="25" w:name="_Hlk54731522"/>
      <w:r>
        <w:rPr>
          <w:rFonts w:hint="eastAsia" w:ascii="仿宋_GB2312" w:hAnsi="仿宋" w:eastAsia="仿宋_GB2312"/>
          <w:b/>
          <w:sz w:val="32"/>
          <w:szCs w:val="32"/>
        </w:rPr>
        <w:t>第二十条 【工作日志制度】</w:t>
      </w:r>
    </w:p>
    <w:p>
      <w:pPr>
        <w:ind w:firstLine="627" w:firstLineChars="196"/>
        <w:rPr>
          <w:rFonts w:ascii="仿宋_GB2312" w:hAnsi="仿宋" w:eastAsia="仿宋_GB2312"/>
          <w:sz w:val="32"/>
          <w:szCs w:val="32"/>
        </w:rPr>
      </w:pPr>
      <w:r>
        <w:rPr>
          <w:rFonts w:hint="eastAsia" w:ascii="仿宋_GB2312" w:hAnsi="仿宋" w:eastAsia="仿宋_GB2312"/>
          <w:sz w:val="32"/>
          <w:szCs w:val="32"/>
        </w:rPr>
        <w:t>工疗站工作人员应认真记录每天工作情况、学员考勤情况、工疗训练及活动情况（图片）、学员身体情况及服药情况、学员辅助性就业情况等，每月向区康园中心填报一次开展活动登记表（工作表格另附），并上传“广东省残疾人托养（区康园中心）信息管理系统”。</w:t>
      </w:r>
    </w:p>
    <w:bookmarkEnd w:id="25"/>
    <w:p>
      <w:pPr>
        <w:ind w:firstLine="630" w:firstLineChars="196"/>
        <w:rPr>
          <w:rFonts w:ascii="仿宋_GB2312" w:hAnsi="仿宋" w:eastAsia="仿宋_GB2312"/>
          <w:b/>
          <w:sz w:val="32"/>
          <w:szCs w:val="32"/>
        </w:rPr>
      </w:pPr>
      <w:bookmarkStart w:id="26" w:name="_Hlk54731583"/>
      <w:r>
        <w:rPr>
          <w:rFonts w:hint="eastAsia" w:ascii="仿宋_GB2312" w:hAnsi="仿宋" w:eastAsia="仿宋_GB2312"/>
          <w:b/>
          <w:sz w:val="32"/>
          <w:szCs w:val="32"/>
        </w:rPr>
        <w:t>第二十一条   【</w:t>
      </w:r>
      <w:r>
        <w:rPr>
          <w:rFonts w:hint="eastAsia" w:ascii="仿宋_GB2312" w:hAnsi="仿宋" w:eastAsia="仿宋_GB2312"/>
          <w:b/>
          <w:bCs/>
          <w:sz w:val="32"/>
          <w:szCs w:val="32"/>
        </w:rPr>
        <w:t>工疗产品、代工产品生产销售管理制度</w:t>
      </w:r>
      <w:r>
        <w:rPr>
          <w:rFonts w:hint="eastAsia" w:ascii="仿宋_GB2312" w:hAnsi="仿宋" w:eastAsia="仿宋_GB2312"/>
          <w:b/>
          <w:sz w:val="32"/>
          <w:szCs w:val="32"/>
        </w:rPr>
        <w:t>】</w:t>
      </w:r>
    </w:p>
    <w:p>
      <w:pPr>
        <w:ind w:firstLine="627" w:firstLineChars="196"/>
        <w:rPr>
          <w:rFonts w:ascii="仿宋_GB2312" w:hAnsi="仿宋" w:eastAsia="仿宋_GB2312"/>
          <w:sz w:val="32"/>
          <w:szCs w:val="32"/>
        </w:rPr>
      </w:pPr>
      <w:r>
        <w:rPr>
          <w:rFonts w:hint="eastAsia" w:ascii="仿宋_GB2312" w:hAnsi="仿宋" w:eastAsia="仿宋_GB2312"/>
          <w:sz w:val="32"/>
          <w:szCs w:val="32"/>
        </w:rPr>
        <w:t>1.区康园中心负责统筹协调辖区内工疗站工疗产品、代工产品的入、产、供、销业务；各街道（镇）检查监督生产成本和加工、销售收入的管理，保障学员劳动收入的合理分配；工疗站设立学员手工劳动收入登记表（工作表格另附），并对学员各项生活补贴、劳动训练津贴及工疗产品（代工产品）之收益根据手工量批次或按月提取、结算并发放等情况进行登记；登记备账情况供区康园中心、区残联、上级部门等核查。</w:t>
      </w:r>
    </w:p>
    <w:p>
      <w:pPr>
        <w:ind w:firstLine="627" w:firstLineChars="196"/>
        <w:rPr>
          <w:rFonts w:ascii="仿宋_GB2312" w:hAnsi="仿宋" w:eastAsia="仿宋_GB2312"/>
          <w:sz w:val="32"/>
          <w:szCs w:val="32"/>
        </w:rPr>
      </w:pPr>
      <w:r>
        <w:rPr>
          <w:rFonts w:hint="eastAsia" w:ascii="仿宋_GB2312" w:hAnsi="仿宋" w:eastAsia="仿宋_GB2312"/>
          <w:sz w:val="32"/>
          <w:szCs w:val="32"/>
        </w:rPr>
        <w:t>2．区康园中心及工疗站还应与机关、团体企业、事业单位或社会组织建立结对帮扶机制。通过政府购买、企业代工、社会义卖等途径，提升经济效益，切实保障学员的劳动收入，减轻学员家庭负担。</w:t>
      </w:r>
    </w:p>
    <w:bookmarkEnd w:id="26"/>
    <w:p>
      <w:pPr>
        <w:ind w:firstLine="630" w:firstLineChars="196"/>
        <w:rPr>
          <w:rFonts w:ascii="仿宋_GB2312" w:hAnsi="仿宋" w:eastAsia="仿宋_GB2312"/>
          <w:b/>
          <w:sz w:val="32"/>
          <w:szCs w:val="32"/>
        </w:rPr>
      </w:pPr>
      <w:bookmarkStart w:id="27" w:name="_Hlk54731674"/>
      <w:r>
        <w:rPr>
          <w:rFonts w:hint="eastAsia" w:ascii="仿宋_GB2312" w:hAnsi="仿宋" w:eastAsia="仿宋_GB2312"/>
          <w:b/>
          <w:sz w:val="32"/>
          <w:szCs w:val="32"/>
        </w:rPr>
        <w:t xml:space="preserve">第二十二条   </w:t>
      </w:r>
      <w:bookmarkStart w:id="28" w:name="_Hlk54623822"/>
      <w:r>
        <w:rPr>
          <w:rFonts w:hint="eastAsia" w:ascii="仿宋_GB2312" w:hAnsi="仿宋" w:eastAsia="仿宋_GB2312"/>
          <w:b/>
          <w:sz w:val="32"/>
          <w:szCs w:val="32"/>
        </w:rPr>
        <w:t>【志愿服务制度】</w:t>
      </w:r>
    </w:p>
    <w:bookmarkEnd w:id="28"/>
    <w:p>
      <w:pPr>
        <w:ind w:firstLine="627" w:firstLineChars="196"/>
        <w:rPr>
          <w:rFonts w:ascii="仿宋_GB2312" w:hAnsi="仿宋" w:eastAsia="仿宋_GB2312"/>
          <w:sz w:val="32"/>
          <w:szCs w:val="32"/>
        </w:rPr>
      </w:pPr>
      <w:r>
        <w:rPr>
          <w:rFonts w:hint="eastAsia" w:ascii="仿宋_GB2312" w:hAnsi="仿宋" w:eastAsia="仿宋_GB2312"/>
          <w:sz w:val="32"/>
          <w:szCs w:val="32"/>
        </w:rPr>
        <w:t>1.区康园中心及工疗站工作人员应主动联系学校、街道和社会志愿团体到工疗站为学员提供志愿服务工作，并根据相关培训指引为志愿者提供任务、纪律、安全教育等培训。</w:t>
      </w:r>
    </w:p>
    <w:p>
      <w:pPr>
        <w:ind w:firstLine="627" w:firstLineChars="196"/>
        <w:rPr>
          <w:rFonts w:ascii="仿宋_GB2312" w:hAnsi="仿宋" w:eastAsia="仿宋_GB2312"/>
          <w:sz w:val="32"/>
          <w:szCs w:val="32"/>
        </w:rPr>
      </w:pPr>
      <w:r>
        <w:rPr>
          <w:rFonts w:hint="eastAsia" w:ascii="仿宋_GB2312" w:hAnsi="仿宋" w:eastAsia="仿宋_GB2312"/>
          <w:sz w:val="32"/>
          <w:szCs w:val="32"/>
        </w:rPr>
        <w:t>2.区康园中心应定期评估志愿团队服务质量、服务效果，不断改进和完善志愿服务项目运作体系；继续深化“志愿在康园”活动，在文化知识、体育娱乐、职业训练、心理辅导等方面帮助学员不断提高社会适应能力。</w:t>
      </w:r>
    </w:p>
    <w:p>
      <w:pPr>
        <w:ind w:firstLine="627" w:firstLineChars="196"/>
        <w:rPr>
          <w:rFonts w:ascii="仿宋_GB2312" w:hAnsi="仿宋" w:eastAsia="仿宋_GB2312"/>
          <w:sz w:val="32"/>
          <w:szCs w:val="32"/>
        </w:rPr>
      </w:pPr>
      <w:r>
        <w:rPr>
          <w:rFonts w:hint="eastAsia" w:ascii="仿宋_GB2312" w:hAnsi="仿宋" w:eastAsia="仿宋_GB2312"/>
          <w:sz w:val="32"/>
          <w:szCs w:val="32"/>
        </w:rPr>
        <w:t xml:space="preserve">3.志愿者在提供服务时，应当注意保护学员隐私、尊重学员的民族风俗习惯、保障学员的人身权益。 </w:t>
      </w:r>
    </w:p>
    <w:bookmarkEnd w:id="27"/>
    <w:p>
      <w:pPr>
        <w:ind w:firstLine="630" w:firstLineChars="196"/>
        <w:outlineLvl w:val="1"/>
        <w:rPr>
          <w:rFonts w:ascii="仿宋_GB2312" w:hAnsi="仿宋" w:eastAsia="仿宋_GB2312"/>
          <w:b/>
          <w:sz w:val="32"/>
          <w:szCs w:val="32"/>
        </w:rPr>
      </w:pPr>
      <w:bookmarkStart w:id="29" w:name="_Hlk54616709"/>
      <w:bookmarkStart w:id="30" w:name="_Hlk54731995"/>
      <w:r>
        <w:rPr>
          <w:rFonts w:hint="eastAsia" w:ascii="仿宋_GB2312" w:hAnsi="仿宋" w:eastAsia="仿宋_GB2312"/>
          <w:b/>
          <w:bCs/>
          <w:sz w:val="32"/>
          <w:szCs w:val="32"/>
        </w:rPr>
        <w:t>第二十三条</w:t>
      </w:r>
      <w:bookmarkEnd w:id="29"/>
      <w:r>
        <w:rPr>
          <w:rFonts w:hint="eastAsia" w:ascii="仿宋_GB2312" w:hAnsi="仿宋" w:eastAsia="仿宋_GB2312"/>
          <w:b/>
          <w:sz w:val="32"/>
          <w:szCs w:val="32"/>
        </w:rPr>
        <w:t>【风险保障与突发事件应急处置制度】</w:t>
      </w:r>
    </w:p>
    <w:p>
      <w:pPr>
        <w:ind w:firstLine="627" w:firstLineChars="196"/>
        <w:outlineLvl w:val="1"/>
        <w:rPr>
          <w:rFonts w:ascii="仿宋_GB2312" w:hAnsi="仿宋" w:eastAsia="仿宋_GB2312"/>
          <w:sz w:val="32"/>
          <w:szCs w:val="32"/>
        </w:rPr>
      </w:pPr>
      <w:r>
        <w:rPr>
          <w:rFonts w:hint="eastAsia" w:ascii="仿宋_GB2312" w:hAnsi="仿宋" w:eastAsia="仿宋_GB2312"/>
          <w:sz w:val="32"/>
          <w:szCs w:val="32"/>
        </w:rPr>
        <w:t>1.区康园中心应当注意风险预防控制与保障，制作风险防控预案与应对保障方案，购买公共场地责任险。</w:t>
      </w:r>
    </w:p>
    <w:p>
      <w:pPr>
        <w:ind w:firstLine="627" w:firstLineChars="196"/>
        <w:outlineLvl w:val="1"/>
        <w:rPr>
          <w:rFonts w:ascii="仿宋_GB2312" w:hAnsi="仿宋" w:eastAsia="仿宋_GB2312"/>
          <w:b/>
          <w:sz w:val="32"/>
          <w:szCs w:val="32"/>
        </w:rPr>
      </w:pPr>
      <w:r>
        <w:rPr>
          <w:rFonts w:hint="eastAsia" w:ascii="仿宋_GB2312" w:hAnsi="仿宋" w:eastAsia="仿宋_GB2312"/>
          <w:sz w:val="32"/>
          <w:szCs w:val="32"/>
        </w:rPr>
        <w:t>2.区康园中心应为工作人员购买意外伤害保险，并对持证学员人身意外保险购买情况进行核对。</w:t>
      </w:r>
      <w:bookmarkStart w:id="31" w:name="_Hlk54737052"/>
    </w:p>
    <w:p>
      <w:pPr>
        <w:ind w:firstLine="627" w:firstLineChars="196"/>
        <w:outlineLvl w:val="1"/>
        <w:rPr>
          <w:rFonts w:ascii="仿宋_GB2312" w:hAnsi="仿宋" w:eastAsia="仿宋_GB2312"/>
          <w:sz w:val="32"/>
          <w:szCs w:val="32"/>
        </w:rPr>
      </w:pPr>
      <w:r>
        <w:rPr>
          <w:rFonts w:hint="eastAsia" w:ascii="仿宋_GB2312" w:hAnsi="仿宋" w:eastAsia="仿宋_GB2312"/>
          <w:sz w:val="32"/>
          <w:szCs w:val="32"/>
        </w:rPr>
        <w:t>3.区康园中心要按照有关规定建立</w:t>
      </w:r>
      <w:bookmarkStart w:id="32" w:name="_Hlk54470832"/>
      <w:r>
        <w:rPr>
          <w:rFonts w:hint="eastAsia" w:ascii="仿宋_GB2312" w:hAnsi="仿宋" w:eastAsia="仿宋_GB2312"/>
          <w:sz w:val="32"/>
          <w:szCs w:val="32"/>
        </w:rPr>
        <w:t>健全工疗站突发事件应急预案</w:t>
      </w:r>
      <w:bookmarkEnd w:id="32"/>
      <w:r>
        <w:rPr>
          <w:rFonts w:hint="eastAsia" w:ascii="仿宋_GB2312" w:hAnsi="仿宋" w:eastAsia="仿宋_GB2312"/>
          <w:sz w:val="32"/>
          <w:szCs w:val="32"/>
        </w:rPr>
        <w:t>，提高快速反应能力，发生突发事件（事故风险）应立即介入处理，并及时报告区残联、市残疾人就业培训服务中心及有关部门。</w:t>
      </w:r>
      <w:r>
        <w:rPr>
          <w:rFonts w:hint="eastAsia" w:ascii="仿宋_GB2312" w:hAnsi="仿宋" w:eastAsia="仿宋_GB2312"/>
          <w:color w:val="000000" w:themeColor="text1"/>
          <w:sz w:val="32"/>
          <w:szCs w:val="32"/>
        </w:rPr>
        <w:t>事件（事故）处理完毕后应填写《突发事件（事故）登记表》（</w:t>
      </w:r>
      <w:r>
        <w:rPr>
          <w:rFonts w:hint="eastAsia" w:ascii="仿宋_GB2312" w:hAnsi="仿宋" w:eastAsia="仿宋_GB2312"/>
          <w:sz w:val="32"/>
          <w:szCs w:val="32"/>
        </w:rPr>
        <w:t>工作表格另附</w:t>
      </w:r>
      <w:r>
        <w:rPr>
          <w:rFonts w:hint="eastAsia" w:ascii="仿宋_GB2312" w:hAnsi="仿宋" w:eastAsia="仿宋_GB2312"/>
          <w:color w:val="000000" w:themeColor="text1"/>
          <w:sz w:val="32"/>
          <w:szCs w:val="32"/>
        </w:rPr>
        <w:t>），具有完整的过程和应急处理记录，</w:t>
      </w:r>
      <w:r>
        <w:rPr>
          <w:rFonts w:hint="eastAsia" w:ascii="仿宋_GB2312" w:hAnsi="仿宋" w:eastAsia="仿宋_GB2312"/>
          <w:sz w:val="32"/>
          <w:szCs w:val="32"/>
        </w:rPr>
        <w:t>并向上级报告。</w:t>
      </w:r>
      <w:bookmarkEnd w:id="31"/>
      <w:r>
        <w:rPr>
          <w:rFonts w:hint="eastAsia" w:ascii="仿宋_GB2312" w:hAnsi="仿宋" w:eastAsia="仿宋_GB2312"/>
          <w:sz w:val="32"/>
          <w:szCs w:val="32"/>
        </w:rPr>
        <w:t>各级康园工疗机构应成立应急管理工作小组，负责制定防火、防盗、防汛、食物中毒、防走失、突发疾病、意外受伤、传染病等应急预案，指挥协调并有效处置各种突发状况，并及时向上级单位负责人报备，积极沟通，听取相关意见和建议。</w:t>
      </w:r>
    </w:p>
    <w:p>
      <w:pPr>
        <w:ind w:firstLine="627" w:firstLineChars="196"/>
        <w:outlineLvl w:val="1"/>
        <w:rPr>
          <w:rFonts w:ascii="仿宋_GB2312" w:hAnsi="仿宋" w:eastAsia="仿宋_GB2312"/>
          <w:sz w:val="32"/>
          <w:szCs w:val="32"/>
        </w:rPr>
      </w:pPr>
      <w:r>
        <w:rPr>
          <w:rFonts w:hint="eastAsia" w:ascii="仿宋_GB2312" w:hAnsi="仿宋" w:eastAsia="仿宋_GB2312"/>
          <w:sz w:val="32"/>
          <w:szCs w:val="32"/>
        </w:rPr>
        <w:t xml:space="preserve">4.应根据学员的特点，针对可能出现的风险、突发事件（如走失、精神病发、癫痫发作、打架等）制定出相应的应急管理制度，指导工作人员在突发事件发生时合理、安全地应对。   </w:t>
      </w:r>
    </w:p>
    <w:p>
      <w:pPr>
        <w:ind w:firstLine="627" w:firstLineChars="196"/>
        <w:outlineLvl w:val="1"/>
        <w:rPr>
          <w:rFonts w:ascii="仿宋_GB2312" w:hAnsi="仿宋" w:eastAsia="仿宋_GB2312"/>
          <w:sz w:val="32"/>
          <w:szCs w:val="32"/>
        </w:rPr>
      </w:pPr>
      <w:r>
        <w:rPr>
          <w:rFonts w:hint="eastAsia" w:ascii="仿宋_GB2312" w:hAnsi="仿宋" w:eastAsia="仿宋_GB2312"/>
          <w:sz w:val="32"/>
          <w:szCs w:val="32"/>
        </w:rPr>
        <w:t>5.发生火灾时，组织学员按预定路线进行消防疏散。如火势危急，立即拨打119火警电话，并采取力所能及的灭火方式控制火势蔓延。</w:t>
      </w:r>
    </w:p>
    <w:p>
      <w:pPr>
        <w:ind w:firstLine="627" w:firstLineChars="196"/>
        <w:outlineLvl w:val="1"/>
        <w:rPr>
          <w:rFonts w:ascii="仿宋_GB2312" w:hAnsi="仿宋" w:eastAsia="仿宋_GB2312"/>
          <w:sz w:val="32"/>
          <w:szCs w:val="32"/>
        </w:rPr>
      </w:pPr>
      <w:r>
        <w:rPr>
          <w:rFonts w:hint="eastAsia" w:ascii="仿宋_GB2312" w:hAnsi="仿宋" w:eastAsia="仿宋_GB2312"/>
          <w:sz w:val="32"/>
          <w:szCs w:val="32"/>
        </w:rPr>
        <w:t>6.学员突发疾病时，应采取适宜的护理措施，立即通知机构医务人员或拨打120急救电话，或直接安排人员、车辆送医疗机构救治，并立即通知家属或监护人。</w:t>
      </w:r>
    </w:p>
    <w:p>
      <w:pPr>
        <w:ind w:firstLine="627" w:firstLineChars="196"/>
        <w:outlineLvl w:val="1"/>
        <w:rPr>
          <w:rFonts w:ascii="仿宋_GB2312" w:hAnsi="仿宋" w:eastAsia="仿宋_GB2312"/>
          <w:sz w:val="32"/>
          <w:szCs w:val="32"/>
        </w:rPr>
      </w:pPr>
      <w:r>
        <w:rPr>
          <w:rFonts w:hint="eastAsia" w:ascii="仿宋_GB2312" w:hAnsi="仿宋" w:eastAsia="仿宋_GB2312"/>
          <w:sz w:val="32"/>
          <w:szCs w:val="32"/>
        </w:rPr>
        <w:t>7.学员意外受伤时，根据伤情采取适当的处置措施。如伤情轻微，则自行进行常规消毒、包扎、涂药。如伤情严重，立即拨打120急救电话，或直接安排人员、车辆送医疗机构救治，并立即通知 家属或监护人。</w:t>
      </w:r>
    </w:p>
    <w:p>
      <w:pPr>
        <w:ind w:firstLine="627" w:firstLineChars="196"/>
        <w:outlineLvl w:val="1"/>
        <w:rPr>
          <w:rFonts w:ascii="仿宋_GB2312" w:hAnsi="仿宋" w:eastAsia="仿宋_GB2312"/>
          <w:sz w:val="32"/>
          <w:szCs w:val="32"/>
        </w:rPr>
      </w:pPr>
      <w:r>
        <w:rPr>
          <w:rFonts w:hint="eastAsia" w:ascii="仿宋_GB2312" w:hAnsi="仿宋" w:eastAsia="仿宋_GB2312"/>
          <w:sz w:val="32"/>
          <w:szCs w:val="32"/>
        </w:rPr>
        <w:t>8.发现传染病疑似病例时，应立即引导病例到单独隔离观察室进行观察，联系机构所在社区（村居）的社区卫生服务区康园中心（乡镇卫生院）等医疗机构进行排查，并送辖区定点医院诊治，确诊后应立即 报告当地疾控机构</w:t>
      </w:r>
    </w:p>
    <w:bookmarkEnd w:id="30"/>
    <w:p>
      <w:pPr>
        <w:ind w:firstLine="630" w:firstLineChars="196"/>
        <w:outlineLvl w:val="1"/>
        <w:rPr>
          <w:rFonts w:ascii="仿宋_GB2312" w:hAnsi="仿宋" w:eastAsia="仿宋_GB2312"/>
          <w:b/>
          <w:sz w:val="32"/>
          <w:szCs w:val="32"/>
        </w:rPr>
      </w:pPr>
      <w:bookmarkStart w:id="33" w:name="_Hlk54732959"/>
      <w:r>
        <w:rPr>
          <w:rFonts w:hint="eastAsia" w:ascii="仿宋_GB2312" w:hAnsi="仿宋" w:eastAsia="仿宋_GB2312"/>
          <w:b/>
          <w:sz w:val="32"/>
          <w:szCs w:val="32"/>
        </w:rPr>
        <w:t>第二十四条 【制度上墙、信息公开】</w:t>
      </w:r>
    </w:p>
    <w:p>
      <w:pPr>
        <w:ind w:firstLine="627" w:firstLineChars="196"/>
        <w:outlineLvl w:val="1"/>
        <w:rPr>
          <w:rFonts w:ascii="仿宋_GB2312" w:hAnsi="仿宋" w:eastAsia="仿宋_GB2312"/>
          <w:sz w:val="32"/>
          <w:szCs w:val="32"/>
        </w:rPr>
      </w:pPr>
      <w:r>
        <w:rPr>
          <w:rFonts w:hint="eastAsia" w:ascii="仿宋_GB2312" w:hAnsi="仿宋" w:eastAsia="仿宋_GB2312"/>
          <w:sz w:val="32"/>
          <w:szCs w:val="32"/>
        </w:rPr>
        <w:t>各级康园工疗机构应根据在站内显著位置公布机构架构、基本制度、工作人员守则、学员守则、课程作息时间表、使命愿景等制度及信息。</w:t>
      </w:r>
    </w:p>
    <w:bookmarkEnd w:id="33"/>
    <w:p>
      <w:pPr>
        <w:outlineLvl w:val="1"/>
        <w:rPr>
          <w:rFonts w:ascii="仿宋_GB2312" w:hAnsi="仿宋" w:eastAsia="仿宋_GB2312"/>
          <w:sz w:val="32"/>
          <w:szCs w:val="32"/>
        </w:rPr>
      </w:pPr>
    </w:p>
    <w:p>
      <w:pPr>
        <w:jc w:val="center"/>
        <w:outlineLvl w:val="0"/>
        <w:rPr>
          <w:rFonts w:ascii="仿宋_GB2312" w:hAnsi="黑体" w:eastAsia="仿宋_GB2312"/>
          <w:sz w:val="32"/>
          <w:szCs w:val="32"/>
        </w:rPr>
      </w:pPr>
      <w:r>
        <w:rPr>
          <w:rFonts w:hint="eastAsia" w:ascii="仿宋_GB2312" w:hAnsi="宋体" w:eastAsia="仿宋_GB2312" w:cs="宋体"/>
          <w:b/>
          <w:sz w:val="32"/>
          <w:szCs w:val="32"/>
        </w:rPr>
        <w:t>第四章 服务流程</w:t>
      </w:r>
    </w:p>
    <w:p>
      <w:pPr>
        <w:ind w:firstLine="630" w:firstLineChars="196"/>
        <w:rPr>
          <w:rFonts w:ascii="仿宋_GB2312" w:hAnsi="仿宋" w:eastAsia="仿宋_GB2312"/>
          <w:b/>
          <w:bCs/>
          <w:sz w:val="32"/>
          <w:szCs w:val="32"/>
        </w:rPr>
      </w:pPr>
      <w:bookmarkStart w:id="34" w:name="_Hlk54734338"/>
      <w:r>
        <w:rPr>
          <w:rFonts w:hint="eastAsia" w:ascii="仿宋_GB2312" w:hAnsi="仿宋" w:eastAsia="仿宋_GB2312"/>
          <w:b/>
          <w:bCs/>
          <w:sz w:val="32"/>
          <w:szCs w:val="32"/>
        </w:rPr>
        <w:t>第二十五条  【入站制度】</w:t>
      </w:r>
    </w:p>
    <w:p>
      <w:pPr>
        <w:ind w:firstLine="627" w:firstLineChars="196"/>
        <w:rPr>
          <w:rFonts w:ascii="仿宋_GB2312" w:hAnsi="仿宋" w:eastAsia="仿宋_GB2312"/>
          <w:sz w:val="32"/>
          <w:szCs w:val="32"/>
        </w:rPr>
      </w:pPr>
      <w:r>
        <w:rPr>
          <w:rFonts w:hint="eastAsia" w:ascii="仿宋_GB2312" w:hAnsi="仿宋" w:eastAsia="仿宋_GB2312"/>
          <w:sz w:val="32"/>
          <w:szCs w:val="32"/>
        </w:rPr>
        <w:t>1.工疗站学员主要为就业年龄段16-60岁（即男性16-60周岁，女性16-55周岁）的智力、精神残疾人及部分其他类别残疾人。残疾人本人、家属或监护人应向工疗站提出入站申请，填写申请表（见附件1）并提供户口簿、身份证、残疾人证和体检报告材料。</w:t>
      </w:r>
    </w:p>
    <w:p>
      <w:pPr>
        <w:ind w:firstLine="627" w:firstLineChars="196"/>
        <w:rPr>
          <w:rFonts w:ascii="仿宋_GB2312" w:hAnsi="仿宋" w:eastAsia="仿宋_GB2312"/>
          <w:sz w:val="32"/>
          <w:szCs w:val="32"/>
        </w:rPr>
      </w:pPr>
      <w:r>
        <w:rPr>
          <w:rFonts w:hint="eastAsia" w:ascii="仿宋_GB2312" w:hAnsi="仿宋" w:eastAsia="仿宋_GB2312"/>
          <w:sz w:val="32"/>
          <w:szCs w:val="32"/>
        </w:rPr>
        <w:t>2.在学员进入区康园中心前，通过一个月适应期训练观察对其进行智力、适应行为和职业等适宜性评估（参见附件2），确定是否符合入站条件。申请入站应符合以下条件：</w:t>
      </w:r>
    </w:p>
    <w:p>
      <w:pPr>
        <w:ind w:firstLine="627" w:firstLineChars="196"/>
        <w:rPr>
          <w:rFonts w:ascii="仿宋_GB2312" w:hAnsi="仿宋" w:eastAsia="仿宋_GB2312"/>
          <w:sz w:val="32"/>
          <w:szCs w:val="32"/>
        </w:rPr>
      </w:pPr>
      <w:r>
        <w:rPr>
          <w:rFonts w:hint="eastAsia" w:ascii="仿宋_GB2312" w:hAnsi="仿宋" w:eastAsia="仿宋_GB2312"/>
          <w:sz w:val="32"/>
          <w:szCs w:val="32"/>
        </w:rPr>
        <w:t>1）具有广州市户籍，处于就业年龄段并能适应在康园工疗机构开展的相关活动及训练的智力、精神、重度肢体残疾及其他有需求的残疾人；</w:t>
      </w:r>
    </w:p>
    <w:p>
      <w:pPr>
        <w:ind w:firstLine="627" w:firstLineChars="196"/>
        <w:rPr>
          <w:rFonts w:ascii="仿宋_GB2312" w:hAnsi="仿宋" w:eastAsia="仿宋_GB2312"/>
          <w:sz w:val="32"/>
          <w:szCs w:val="32"/>
        </w:rPr>
      </w:pPr>
      <w:r>
        <w:rPr>
          <w:rFonts w:hint="eastAsia" w:ascii="仿宋_GB2312" w:hAnsi="仿宋" w:eastAsia="仿宋_GB2312"/>
          <w:sz w:val="32"/>
          <w:szCs w:val="32"/>
        </w:rPr>
        <w:t>2）病情稳定，不具有暴力倾向、性妄想、传染病等；</w:t>
      </w:r>
    </w:p>
    <w:p>
      <w:pPr>
        <w:ind w:firstLine="627" w:firstLineChars="196"/>
        <w:rPr>
          <w:rFonts w:ascii="仿宋_GB2312" w:hAnsi="仿宋" w:eastAsia="仿宋_GB2312"/>
          <w:sz w:val="32"/>
          <w:szCs w:val="32"/>
        </w:rPr>
      </w:pPr>
      <w:r>
        <w:rPr>
          <w:rFonts w:hint="eastAsia" w:ascii="仿宋_GB2312" w:hAnsi="仿宋" w:eastAsia="仿宋_GB2312"/>
          <w:sz w:val="32"/>
          <w:szCs w:val="32"/>
        </w:rPr>
        <w:t>3）通过适应性评估测评。</w:t>
      </w:r>
    </w:p>
    <w:p>
      <w:pPr>
        <w:ind w:firstLine="627" w:firstLineChars="196"/>
        <w:rPr>
          <w:rFonts w:ascii="仿宋_GB2312" w:hAnsi="仿宋" w:eastAsia="仿宋_GB2312"/>
          <w:sz w:val="32"/>
          <w:szCs w:val="32"/>
        </w:rPr>
      </w:pPr>
      <w:r>
        <w:rPr>
          <w:rFonts w:hint="eastAsia" w:ascii="仿宋_GB2312" w:hAnsi="仿宋" w:eastAsia="仿宋_GB2312"/>
          <w:sz w:val="32"/>
          <w:szCs w:val="32"/>
        </w:rPr>
        <w:t>3. 对符合入站条件的学员，与其本人、家属或监护人签订具有法律效力、权责清晰的服务协议。协议一年一签，内容包含（但不限于）服务内容、服务方式、服务时间和三方责任义务等内容。</w:t>
      </w:r>
    </w:p>
    <w:p>
      <w:pPr>
        <w:ind w:firstLine="627" w:firstLineChars="196"/>
        <w:rPr>
          <w:rFonts w:ascii="仿宋_GB2312" w:hAnsi="仿宋" w:eastAsia="仿宋_GB2312"/>
          <w:sz w:val="32"/>
          <w:szCs w:val="32"/>
        </w:rPr>
      </w:pPr>
      <w:r>
        <w:rPr>
          <w:rFonts w:hint="eastAsia" w:ascii="仿宋_GB2312" w:hAnsi="仿宋" w:eastAsia="仿宋_GB2312"/>
          <w:sz w:val="32"/>
          <w:szCs w:val="32"/>
        </w:rPr>
        <w:t>4.如果学员入站满一年，应对其再次进行适应性评估。</w:t>
      </w:r>
    </w:p>
    <w:bookmarkEnd w:id="34"/>
    <w:p>
      <w:pPr>
        <w:ind w:firstLine="630" w:firstLineChars="196"/>
        <w:outlineLvl w:val="1"/>
        <w:rPr>
          <w:rFonts w:ascii="仿宋_GB2312" w:hAnsi="仿宋" w:eastAsia="仿宋_GB2312"/>
          <w:b/>
          <w:sz w:val="32"/>
          <w:szCs w:val="32"/>
        </w:rPr>
      </w:pPr>
      <w:bookmarkStart w:id="35" w:name="_Hlk54734381"/>
      <w:r>
        <w:rPr>
          <w:rFonts w:hint="eastAsia" w:ascii="仿宋_GB2312" w:hAnsi="仿宋" w:eastAsia="仿宋_GB2312"/>
          <w:b/>
          <w:bCs/>
          <w:sz w:val="32"/>
          <w:szCs w:val="32"/>
        </w:rPr>
        <w:t>第二十六条</w:t>
      </w:r>
      <w:r>
        <w:rPr>
          <w:rFonts w:hint="eastAsia" w:ascii="仿宋_GB2312" w:hAnsi="仿宋" w:eastAsia="仿宋_GB2312"/>
          <w:b/>
          <w:sz w:val="32"/>
          <w:szCs w:val="32"/>
        </w:rPr>
        <w:t>【服务评估、方案制定与服务提供】</w:t>
      </w:r>
    </w:p>
    <w:p>
      <w:pPr>
        <w:ind w:firstLine="627" w:firstLineChars="196"/>
        <w:outlineLvl w:val="1"/>
        <w:rPr>
          <w:rFonts w:ascii="仿宋_GB2312" w:hAnsi="仿宋" w:eastAsia="仿宋_GB2312"/>
          <w:sz w:val="32"/>
          <w:szCs w:val="32"/>
        </w:rPr>
      </w:pPr>
      <w:r>
        <w:rPr>
          <w:rFonts w:hint="eastAsia" w:ascii="仿宋_GB2312" w:hAnsi="仿宋" w:eastAsia="仿宋_GB2312"/>
          <w:sz w:val="32"/>
          <w:szCs w:val="32"/>
        </w:rPr>
        <w:t>1.工疗站在为学员提供服务前，应当根据学员的服务需求、身心状况等与服务相关的基本情况进行评估，并根据学员类型、残疾等级和评估结果制定适合的个性化服务方案，实施分级分类服务。同时也应根据综合学员的共性需求，制定集体训练课程。</w:t>
      </w:r>
    </w:p>
    <w:p>
      <w:pPr>
        <w:ind w:firstLine="627" w:firstLineChars="196"/>
        <w:rPr>
          <w:rFonts w:ascii="仿宋_GB2312" w:hAnsi="仿宋" w:eastAsia="仿宋_GB2312"/>
          <w:sz w:val="32"/>
          <w:szCs w:val="32"/>
        </w:rPr>
      </w:pPr>
      <w:bookmarkStart w:id="36" w:name="_Toc22448"/>
      <w:r>
        <w:rPr>
          <w:rFonts w:hint="eastAsia" w:ascii="仿宋_GB2312" w:hAnsi="仿宋" w:eastAsia="仿宋_GB2312"/>
          <w:sz w:val="32"/>
          <w:szCs w:val="32"/>
        </w:rPr>
        <w:t>2.服务评估与方案制定完成后，应依据集体训练课程和个性化服务方案提供学员所需的各项服务，记录服务过程并存档。每年定期评估服务效果，测评学员的身心功能，并根据服务效果与评估结果调整服务计划。</w:t>
      </w:r>
      <w:bookmarkEnd w:id="36"/>
    </w:p>
    <w:p>
      <w:pPr>
        <w:ind w:firstLine="627" w:firstLineChars="196"/>
        <w:rPr>
          <w:rFonts w:ascii="仿宋_GB2312" w:hAnsi="仿宋" w:eastAsia="仿宋_GB2312"/>
          <w:sz w:val="32"/>
          <w:szCs w:val="32"/>
        </w:rPr>
      </w:pPr>
      <w:r>
        <w:rPr>
          <w:rFonts w:hint="eastAsia" w:ascii="仿宋_GB2312" w:hAnsi="仿宋" w:eastAsia="仿宋_GB2312"/>
          <w:sz w:val="32"/>
          <w:szCs w:val="32"/>
        </w:rPr>
        <w:t>3.制定服务说明书、服务提供规范和质量规范，根据质量控制指标，明确不合格服务的预防措施；定期改进服务内容、提供和方案制定的内容及流程，建立提高服务质量的工作机制。</w:t>
      </w:r>
    </w:p>
    <w:bookmarkEnd w:id="35"/>
    <w:p>
      <w:pPr>
        <w:ind w:firstLine="630" w:firstLineChars="196"/>
        <w:rPr>
          <w:rFonts w:ascii="仿宋_GB2312" w:hAnsi="仿宋" w:eastAsia="仿宋_GB2312"/>
          <w:b/>
          <w:bCs/>
          <w:sz w:val="32"/>
          <w:szCs w:val="32"/>
        </w:rPr>
      </w:pPr>
      <w:bookmarkStart w:id="37" w:name="_Toc13330"/>
      <w:bookmarkStart w:id="38" w:name="_Toc28925"/>
      <w:bookmarkStart w:id="39" w:name="_Toc12782"/>
      <w:bookmarkStart w:id="40" w:name="_Toc21959"/>
      <w:bookmarkStart w:id="41" w:name="_Toc9589"/>
      <w:bookmarkStart w:id="42" w:name="_Hlk54734398"/>
      <w:r>
        <w:rPr>
          <w:rFonts w:hint="eastAsia" w:ascii="仿宋_GB2312" w:hAnsi="仿宋" w:eastAsia="仿宋_GB2312"/>
          <w:b/>
          <w:sz w:val="32"/>
          <w:szCs w:val="32"/>
        </w:rPr>
        <w:t>第二十七条  【</w:t>
      </w:r>
      <w:r>
        <w:rPr>
          <w:rFonts w:hint="eastAsia" w:ascii="仿宋_GB2312" w:hAnsi="仿宋" w:eastAsia="仿宋_GB2312"/>
          <w:b/>
          <w:bCs/>
          <w:sz w:val="32"/>
          <w:szCs w:val="32"/>
        </w:rPr>
        <w:t>转介服务</w:t>
      </w:r>
      <w:r>
        <w:rPr>
          <w:rFonts w:hint="eastAsia" w:ascii="仿宋_GB2312" w:hAnsi="仿宋" w:eastAsia="仿宋_GB2312"/>
          <w:b/>
          <w:sz w:val="32"/>
          <w:szCs w:val="32"/>
        </w:rPr>
        <w:t>】</w:t>
      </w:r>
    </w:p>
    <w:bookmarkEnd w:id="37"/>
    <w:bookmarkEnd w:id="38"/>
    <w:bookmarkEnd w:id="39"/>
    <w:bookmarkEnd w:id="40"/>
    <w:bookmarkEnd w:id="41"/>
    <w:p>
      <w:pPr>
        <w:ind w:firstLine="627" w:firstLineChars="196"/>
        <w:rPr>
          <w:rFonts w:ascii="仿宋_GB2312" w:hAnsi="仿宋" w:eastAsia="仿宋_GB2312"/>
          <w:sz w:val="32"/>
          <w:szCs w:val="32"/>
        </w:rPr>
      </w:pPr>
      <w:r>
        <w:rPr>
          <w:rFonts w:hint="eastAsia" w:ascii="仿宋_GB2312" w:hAnsi="仿宋" w:eastAsia="仿宋_GB2312"/>
          <w:sz w:val="32"/>
          <w:szCs w:val="32"/>
        </w:rPr>
        <w:t>1.根据学员的实际需求，在定期测评其身心功能的基础上，提供学员所需的转介服务，比如转介至医院或其他服务机构。</w:t>
      </w:r>
      <w:bookmarkStart w:id="43" w:name="_Toc17209"/>
      <w:bookmarkStart w:id="44" w:name="_Toc29515"/>
      <w:bookmarkStart w:id="45" w:name="_Toc4354"/>
      <w:bookmarkStart w:id="46" w:name="_Toc25404"/>
      <w:bookmarkStart w:id="47" w:name="_Toc17018"/>
    </w:p>
    <w:p>
      <w:pPr>
        <w:ind w:firstLine="627" w:firstLineChars="196"/>
        <w:rPr>
          <w:rFonts w:ascii="仿宋_GB2312" w:hAnsi="仿宋" w:eastAsia="仿宋_GB2312"/>
          <w:sz w:val="32"/>
          <w:szCs w:val="32"/>
        </w:rPr>
      </w:pPr>
      <w:r>
        <w:rPr>
          <w:rFonts w:hint="eastAsia" w:ascii="仿宋_GB2312" w:hAnsi="仿宋" w:eastAsia="仿宋_GB2312"/>
          <w:sz w:val="32"/>
          <w:szCs w:val="32"/>
        </w:rPr>
        <w:t>2.学员的身体状况发生较大变化时，应协助监护人将学员转介到专业医疗康复机构进行诊断和治疗。</w:t>
      </w:r>
    </w:p>
    <w:bookmarkEnd w:id="42"/>
    <w:p>
      <w:pPr>
        <w:ind w:firstLine="630" w:firstLineChars="196"/>
        <w:rPr>
          <w:rFonts w:ascii="仿宋_GB2312" w:hAnsi="仿宋" w:eastAsia="仿宋_GB2312"/>
          <w:b/>
          <w:bCs/>
          <w:sz w:val="32"/>
          <w:szCs w:val="32"/>
        </w:rPr>
      </w:pPr>
      <w:bookmarkStart w:id="48" w:name="_Hlk54734465"/>
      <w:r>
        <w:rPr>
          <w:rFonts w:hint="eastAsia" w:ascii="仿宋_GB2312" w:hAnsi="仿宋" w:eastAsia="仿宋_GB2312"/>
          <w:b/>
          <w:sz w:val="32"/>
          <w:szCs w:val="32"/>
        </w:rPr>
        <w:t>第二十八条【</w:t>
      </w:r>
      <w:r>
        <w:rPr>
          <w:rFonts w:hint="eastAsia" w:ascii="仿宋_GB2312" w:hAnsi="仿宋" w:eastAsia="仿宋_GB2312"/>
          <w:b/>
          <w:bCs/>
          <w:sz w:val="32"/>
          <w:szCs w:val="32"/>
        </w:rPr>
        <w:t>退站</w:t>
      </w:r>
      <w:r>
        <w:rPr>
          <w:rFonts w:hint="eastAsia" w:ascii="仿宋_GB2312" w:hAnsi="仿宋" w:eastAsia="仿宋_GB2312"/>
          <w:b/>
          <w:sz w:val="32"/>
          <w:szCs w:val="32"/>
        </w:rPr>
        <w:t>】</w:t>
      </w:r>
    </w:p>
    <w:bookmarkEnd w:id="43"/>
    <w:bookmarkEnd w:id="44"/>
    <w:bookmarkEnd w:id="45"/>
    <w:bookmarkEnd w:id="46"/>
    <w:bookmarkEnd w:id="47"/>
    <w:p>
      <w:pPr>
        <w:ind w:firstLine="627" w:firstLineChars="196"/>
        <w:rPr>
          <w:rFonts w:ascii="仿宋_GB2312" w:hAnsi="仿宋" w:eastAsia="仿宋_GB2312"/>
          <w:sz w:val="32"/>
          <w:szCs w:val="32"/>
        </w:rPr>
      </w:pPr>
      <w:r>
        <w:rPr>
          <w:rFonts w:hint="eastAsia" w:ascii="仿宋_GB2312" w:hAnsi="仿宋" w:eastAsia="仿宋_GB2312"/>
          <w:sz w:val="32"/>
          <w:szCs w:val="32"/>
        </w:rPr>
        <w:t>当出现学员主动申请退站、不再符合入站条件或发生严重违纪达到强制退站要求等几种情况时，应告知其家属或者监护人，经过协商、协调后，依照规定和入站协议约定办理学员离站手续，必要时，报上级部门介入协调。</w:t>
      </w:r>
    </w:p>
    <w:bookmarkEnd w:id="48"/>
    <w:p>
      <w:pPr>
        <w:ind w:firstLine="630" w:firstLineChars="196"/>
        <w:rPr>
          <w:rFonts w:ascii="仿宋_GB2312" w:hAnsi="仿宋" w:eastAsia="仿宋_GB2312"/>
          <w:sz w:val="32"/>
          <w:szCs w:val="32"/>
        </w:rPr>
      </w:pPr>
      <w:bookmarkStart w:id="49" w:name="_Hlk54734567"/>
      <w:r>
        <w:rPr>
          <w:rFonts w:hint="eastAsia" w:ascii="仿宋_GB2312" w:hAnsi="仿宋" w:eastAsia="仿宋_GB2312"/>
          <w:b/>
          <w:sz w:val="32"/>
          <w:szCs w:val="32"/>
        </w:rPr>
        <w:t>第二十九条  【</w:t>
      </w:r>
      <w:r>
        <w:rPr>
          <w:rFonts w:hint="eastAsia" w:ascii="仿宋_GB2312" w:hAnsi="仿宋" w:eastAsia="仿宋_GB2312"/>
          <w:b/>
          <w:bCs/>
          <w:sz w:val="32"/>
          <w:szCs w:val="32"/>
        </w:rPr>
        <w:t>离站制度</w:t>
      </w:r>
      <w:r>
        <w:rPr>
          <w:rFonts w:hint="eastAsia" w:ascii="仿宋_GB2312" w:hAnsi="仿宋" w:eastAsia="仿宋_GB2312"/>
          <w:b/>
          <w:sz w:val="32"/>
          <w:szCs w:val="32"/>
        </w:rPr>
        <w:t>】</w:t>
      </w:r>
    </w:p>
    <w:p>
      <w:pPr>
        <w:ind w:firstLine="627" w:firstLineChars="196"/>
        <w:rPr>
          <w:rFonts w:ascii="仿宋_GB2312" w:hAnsi="仿宋" w:eastAsia="仿宋_GB2312"/>
          <w:sz w:val="32"/>
          <w:szCs w:val="32"/>
        </w:rPr>
      </w:pPr>
      <w:r>
        <w:rPr>
          <w:rFonts w:hint="eastAsia" w:ascii="仿宋_GB2312" w:hAnsi="仿宋" w:eastAsia="仿宋_GB2312"/>
          <w:sz w:val="32"/>
          <w:szCs w:val="32"/>
        </w:rPr>
        <w:t>学员在工疗站训练期间，发现以下有关情况，应办理离站手续，由所在工疗站提出《离站报告书》（工作表格另附），经区康园中心同意后，签订《终止服务协议书》（工作表格另附）。</w:t>
      </w:r>
    </w:p>
    <w:p>
      <w:pPr>
        <w:ind w:firstLine="627" w:firstLineChars="196"/>
        <w:rPr>
          <w:rFonts w:ascii="仿宋_GB2312" w:hAnsi="仿宋" w:eastAsia="仿宋_GB2312"/>
          <w:sz w:val="32"/>
          <w:szCs w:val="32"/>
        </w:rPr>
      </w:pPr>
      <w:r>
        <w:rPr>
          <w:rFonts w:hint="eastAsia" w:ascii="仿宋_GB2312" w:hAnsi="仿宋" w:eastAsia="仿宋_GB2312"/>
          <w:sz w:val="32"/>
          <w:szCs w:val="32"/>
        </w:rPr>
        <w:t>1.不能通过适应期。</w:t>
      </w:r>
    </w:p>
    <w:p>
      <w:pPr>
        <w:ind w:firstLine="627" w:firstLineChars="196"/>
        <w:rPr>
          <w:rFonts w:ascii="仿宋_GB2312" w:hAnsi="仿宋" w:eastAsia="仿宋_GB2312"/>
          <w:sz w:val="32"/>
          <w:szCs w:val="32"/>
        </w:rPr>
      </w:pPr>
      <w:r>
        <w:rPr>
          <w:rFonts w:hint="eastAsia" w:ascii="仿宋_GB2312" w:hAnsi="仿宋" w:eastAsia="仿宋_GB2312"/>
          <w:sz w:val="32"/>
          <w:szCs w:val="32"/>
        </w:rPr>
        <w:t>2.工疗站训练期间出现不良行为严重影响其他学员正常工疗，经三次教育无效;甚至出现伤害他人的行为可强制退站。</w:t>
      </w:r>
    </w:p>
    <w:p>
      <w:pPr>
        <w:ind w:firstLine="627" w:firstLineChars="196"/>
        <w:rPr>
          <w:rFonts w:ascii="仿宋_GB2312" w:hAnsi="仿宋" w:eastAsia="仿宋_GB2312"/>
          <w:sz w:val="32"/>
          <w:szCs w:val="32"/>
        </w:rPr>
      </w:pPr>
      <w:r>
        <w:rPr>
          <w:rFonts w:hint="eastAsia" w:ascii="仿宋_GB2312" w:hAnsi="仿宋" w:eastAsia="仿宋_GB2312"/>
          <w:sz w:val="32"/>
          <w:szCs w:val="32"/>
        </w:rPr>
        <w:t>3.已完成工疗康复服务。</w:t>
      </w:r>
    </w:p>
    <w:p>
      <w:pPr>
        <w:ind w:firstLine="627" w:firstLineChars="196"/>
        <w:rPr>
          <w:rFonts w:ascii="仿宋_GB2312" w:hAnsi="仿宋" w:eastAsia="仿宋_GB2312"/>
          <w:sz w:val="32"/>
          <w:szCs w:val="32"/>
        </w:rPr>
      </w:pPr>
      <w:r>
        <w:rPr>
          <w:rFonts w:hint="eastAsia" w:ascii="仿宋_GB2312" w:hAnsi="仿宋" w:eastAsia="仿宋_GB2312"/>
          <w:sz w:val="32"/>
          <w:szCs w:val="32"/>
        </w:rPr>
        <w:t>4.成功转介公开就业。</w:t>
      </w:r>
    </w:p>
    <w:p>
      <w:pPr>
        <w:ind w:firstLine="627" w:firstLineChars="196"/>
        <w:rPr>
          <w:rFonts w:ascii="仿宋_GB2312" w:hAnsi="仿宋" w:eastAsia="仿宋_GB2312"/>
          <w:sz w:val="32"/>
          <w:szCs w:val="32"/>
        </w:rPr>
      </w:pPr>
      <w:r>
        <w:rPr>
          <w:rFonts w:hint="eastAsia" w:ascii="仿宋_GB2312" w:hAnsi="仿宋" w:eastAsia="仿宋_GB2312"/>
          <w:sz w:val="32"/>
          <w:szCs w:val="32"/>
        </w:rPr>
        <w:t>5.成功转介到其它就业服务机构。</w:t>
      </w:r>
    </w:p>
    <w:p>
      <w:pPr>
        <w:ind w:firstLine="627" w:firstLineChars="196"/>
        <w:rPr>
          <w:rFonts w:ascii="仿宋_GB2312" w:hAnsi="仿宋" w:eastAsia="仿宋_GB2312"/>
          <w:sz w:val="32"/>
          <w:szCs w:val="32"/>
        </w:rPr>
      </w:pPr>
      <w:r>
        <w:rPr>
          <w:rFonts w:hint="eastAsia" w:ascii="仿宋_GB2312" w:hAnsi="仿宋" w:eastAsia="仿宋_GB2312"/>
          <w:sz w:val="32"/>
          <w:szCs w:val="32"/>
        </w:rPr>
        <w:t>6.转到其它机构训练或培训。</w:t>
      </w:r>
    </w:p>
    <w:p>
      <w:pPr>
        <w:ind w:firstLine="627" w:firstLineChars="196"/>
        <w:rPr>
          <w:rFonts w:ascii="仿宋_GB2312" w:hAnsi="仿宋" w:eastAsia="仿宋_GB2312"/>
          <w:sz w:val="32"/>
          <w:szCs w:val="32"/>
        </w:rPr>
      </w:pPr>
      <w:r>
        <w:rPr>
          <w:rFonts w:hint="eastAsia" w:ascii="仿宋_GB2312" w:hAnsi="仿宋" w:eastAsia="仿宋_GB2312"/>
          <w:sz w:val="32"/>
          <w:szCs w:val="32"/>
        </w:rPr>
        <w:t>7.因自身原因未能完成工疗康复训练。</w:t>
      </w:r>
    </w:p>
    <w:p>
      <w:pPr>
        <w:ind w:firstLine="627" w:firstLineChars="196"/>
        <w:rPr>
          <w:rFonts w:ascii="仿宋_GB2312" w:hAnsi="仿宋" w:eastAsia="仿宋_GB2312"/>
          <w:sz w:val="32"/>
          <w:szCs w:val="32"/>
        </w:rPr>
      </w:pPr>
      <w:r>
        <w:rPr>
          <w:rFonts w:hint="eastAsia" w:ascii="仿宋_GB2312" w:hAnsi="仿宋" w:eastAsia="仿宋_GB2312"/>
          <w:sz w:val="32"/>
          <w:szCs w:val="32"/>
        </w:rPr>
        <w:t>8.要求自行退站。</w:t>
      </w:r>
    </w:p>
    <w:p>
      <w:pPr>
        <w:ind w:firstLine="627" w:firstLineChars="196"/>
        <w:rPr>
          <w:rFonts w:ascii="仿宋_GB2312" w:hAnsi="仿宋" w:eastAsia="仿宋_GB2312"/>
          <w:sz w:val="32"/>
          <w:szCs w:val="32"/>
        </w:rPr>
      </w:pPr>
      <w:r>
        <w:rPr>
          <w:rFonts w:hint="eastAsia" w:ascii="仿宋_GB2312" w:hAnsi="仿宋" w:eastAsia="仿宋_GB2312"/>
          <w:sz w:val="32"/>
          <w:szCs w:val="32"/>
        </w:rPr>
        <w:t>9.入院。</w:t>
      </w:r>
    </w:p>
    <w:p>
      <w:pPr>
        <w:ind w:firstLine="627" w:firstLineChars="196"/>
        <w:rPr>
          <w:rFonts w:ascii="仿宋_GB2312" w:hAnsi="仿宋" w:eastAsia="仿宋_GB2312"/>
          <w:sz w:val="32"/>
          <w:szCs w:val="32"/>
        </w:rPr>
      </w:pPr>
      <w:r>
        <w:rPr>
          <w:rFonts w:hint="eastAsia" w:ascii="仿宋_GB2312" w:hAnsi="仿宋" w:eastAsia="仿宋_GB2312"/>
          <w:sz w:val="32"/>
          <w:szCs w:val="32"/>
        </w:rPr>
        <w:t>10.其他原因退站。</w:t>
      </w:r>
    </w:p>
    <w:bookmarkEnd w:id="49"/>
    <w:p>
      <w:pPr>
        <w:jc w:val="center"/>
        <w:outlineLvl w:val="0"/>
        <w:rPr>
          <w:rFonts w:ascii="仿宋_GB2312" w:hAnsi="宋体" w:eastAsia="仿宋_GB2312" w:cs="宋体"/>
          <w:b/>
          <w:sz w:val="32"/>
          <w:szCs w:val="32"/>
        </w:rPr>
      </w:pPr>
    </w:p>
    <w:p>
      <w:pPr>
        <w:jc w:val="center"/>
        <w:outlineLvl w:val="0"/>
        <w:rPr>
          <w:rFonts w:ascii="仿宋_GB2312" w:hAnsi="宋体" w:eastAsia="仿宋_GB2312" w:cs="宋体"/>
          <w:b/>
          <w:sz w:val="32"/>
          <w:szCs w:val="32"/>
        </w:rPr>
      </w:pPr>
      <w:bookmarkStart w:id="50" w:name="_Hlk54735137"/>
      <w:r>
        <w:rPr>
          <w:rFonts w:hint="eastAsia" w:ascii="仿宋_GB2312" w:hAnsi="宋体" w:eastAsia="仿宋_GB2312" w:cs="宋体"/>
          <w:b/>
          <w:sz w:val="32"/>
          <w:szCs w:val="32"/>
        </w:rPr>
        <w:t>第五章 服务与训练内容</w:t>
      </w:r>
    </w:p>
    <w:p>
      <w:pPr>
        <w:ind w:firstLine="630" w:firstLineChars="196"/>
        <w:outlineLvl w:val="1"/>
        <w:rPr>
          <w:rFonts w:ascii="仿宋_GB2312" w:hAnsi="仿宋" w:eastAsia="仿宋_GB2312"/>
          <w:b/>
          <w:sz w:val="32"/>
          <w:szCs w:val="32"/>
        </w:rPr>
      </w:pPr>
      <w:r>
        <w:rPr>
          <w:rFonts w:hint="eastAsia" w:ascii="仿宋_GB2312" w:hAnsi="仿宋" w:eastAsia="仿宋_GB2312"/>
          <w:b/>
          <w:bCs/>
          <w:sz w:val="32"/>
          <w:szCs w:val="32"/>
        </w:rPr>
        <w:t>第三十条</w:t>
      </w:r>
      <w:r>
        <w:rPr>
          <w:rFonts w:hint="eastAsia" w:ascii="仿宋_GB2312" w:hAnsi="仿宋" w:eastAsia="仿宋_GB2312"/>
          <w:b/>
          <w:sz w:val="32"/>
          <w:szCs w:val="32"/>
        </w:rPr>
        <w:t>【服务与训练内容】</w:t>
      </w:r>
    </w:p>
    <w:p>
      <w:pPr>
        <w:ind w:firstLine="627" w:firstLineChars="196"/>
        <w:outlineLvl w:val="1"/>
        <w:rPr>
          <w:rFonts w:ascii="仿宋_GB2312" w:hAnsi="仿宋" w:eastAsia="仿宋_GB2312"/>
          <w:sz w:val="32"/>
          <w:szCs w:val="32"/>
        </w:rPr>
      </w:pPr>
      <w:r>
        <w:rPr>
          <w:rFonts w:hint="eastAsia" w:ascii="仿宋_GB2312" w:hAnsi="仿宋" w:eastAsia="仿宋_GB2312"/>
          <w:sz w:val="32"/>
          <w:szCs w:val="32"/>
        </w:rPr>
        <w:t>工疗站可根据本站学员特点的分级护理情况，在保护学员的人身权益，尊重学员的人格和尊严的基础上自主决定服务及训练范围，包括但不限于如下内容：</w:t>
      </w:r>
    </w:p>
    <w:bookmarkEnd w:id="50"/>
    <w:p>
      <w:pPr>
        <w:ind w:firstLine="630" w:firstLineChars="196"/>
        <w:rPr>
          <w:rFonts w:ascii="仿宋_GB2312" w:hAnsi="仿宋" w:eastAsia="仿宋_GB2312"/>
          <w:b/>
          <w:sz w:val="32"/>
          <w:szCs w:val="32"/>
        </w:rPr>
      </w:pPr>
      <w:bookmarkStart w:id="51" w:name="_Hlk54735415"/>
      <w:r>
        <w:rPr>
          <w:rFonts w:hint="eastAsia" w:ascii="仿宋_GB2312" w:hAnsi="仿宋" w:eastAsia="仿宋_GB2312"/>
          <w:b/>
          <w:sz w:val="32"/>
          <w:szCs w:val="32"/>
        </w:rPr>
        <w:t>第三十一条  【基本生活照料和护理】</w:t>
      </w:r>
    </w:p>
    <w:p>
      <w:pPr>
        <w:ind w:firstLine="627" w:firstLineChars="196"/>
        <w:rPr>
          <w:rFonts w:ascii="仿宋_GB2312" w:hAnsi="仿宋" w:eastAsia="仿宋_GB2312"/>
          <w:sz w:val="32"/>
          <w:szCs w:val="32"/>
        </w:rPr>
      </w:pPr>
      <w:r>
        <w:rPr>
          <w:rFonts w:hint="eastAsia" w:ascii="仿宋_GB2312" w:hAnsi="仿宋" w:eastAsia="仿宋_GB2312"/>
          <w:sz w:val="32"/>
          <w:szCs w:val="32"/>
        </w:rPr>
        <w:t>1.协助学员点餐、加餐、送餐，为学员提供合理、健康、营养均衡的膳食建议，有条件的站点可根据学员要求与个人情况，尊重学员的民族风俗和饮食习惯，制定个性化食谱；必要时协助学员顺利进食，并安排规律的饮食和作息时间。</w:t>
      </w:r>
    </w:p>
    <w:p>
      <w:pPr>
        <w:ind w:firstLine="627" w:firstLineChars="196"/>
        <w:rPr>
          <w:rFonts w:ascii="仿宋_GB2312" w:hAnsi="仿宋" w:eastAsia="仿宋_GB2312"/>
          <w:sz w:val="32"/>
          <w:szCs w:val="32"/>
        </w:rPr>
      </w:pPr>
      <w:r>
        <w:rPr>
          <w:rFonts w:hint="eastAsia" w:ascii="仿宋_GB2312" w:hAnsi="仿宋" w:eastAsia="仿宋_GB2312"/>
          <w:sz w:val="32"/>
          <w:szCs w:val="32"/>
        </w:rPr>
        <w:t>2.为学员提供行为看护、活动协助、提醒服药、心理咨询和辅导、提供如厕、身体及衣物卫生清洁等生活照料和护理服务内容。</w:t>
      </w:r>
    </w:p>
    <w:p>
      <w:pPr>
        <w:ind w:firstLine="627" w:firstLineChars="196"/>
        <w:rPr>
          <w:rFonts w:ascii="仿宋_GB2312" w:hAnsi="仿宋" w:eastAsia="仿宋_GB2312"/>
          <w:sz w:val="32"/>
          <w:szCs w:val="32"/>
        </w:rPr>
      </w:pPr>
      <w:bookmarkStart w:id="52" w:name="_Hlk54735800"/>
      <w:r>
        <w:rPr>
          <w:rFonts w:hint="eastAsia" w:ascii="仿宋_GB2312" w:hAnsi="仿宋" w:eastAsia="仿宋_GB2312"/>
          <w:sz w:val="32"/>
          <w:szCs w:val="32"/>
        </w:rPr>
        <w:t>3.制定户外活动计划表，协助有需要的学员进行户外活动，天气情况允许的条件下，保证学员每天有不少于1小时的户外活动时间。</w:t>
      </w:r>
    </w:p>
    <w:bookmarkEnd w:id="52"/>
    <w:p>
      <w:pPr>
        <w:ind w:firstLine="627" w:firstLineChars="196"/>
        <w:rPr>
          <w:rFonts w:ascii="仿宋_GB2312" w:hAnsi="仿宋" w:eastAsia="仿宋_GB2312"/>
          <w:sz w:val="32"/>
          <w:szCs w:val="32"/>
        </w:rPr>
      </w:pPr>
      <w:r>
        <w:rPr>
          <w:rFonts w:hint="eastAsia" w:ascii="仿宋_GB2312" w:hAnsi="仿宋" w:eastAsia="仿宋_GB2312"/>
          <w:sz w:val="32"/>
          <w:szCs w:val="32"/>
        </w:rPr>
        <w:t>4.注意观察学员的行为和健康情况，及时提供必要的提醒、协助和保护。发现异常时，及时处理并联系家属或监护人。</w:t>
      </w:r>
    </w:p>
    <w:p>
      <w:pPr>
        <w:ind w:firstLine="627" w:firstLineChars="196"/>
        <w:rPr>
          <w:rFonts w:ascii="仿宋_GB2312" w:hAnsi="仿宋" w:eastAsia="仿宋_GB2312"/>
          <w:sz w:val="32"/>
          <w:szCs w:val="32"/>
        </w:rPr>
      </w:pPr>
      <w:r>
        <w:rPr>
          <w:rFonts w:hint="eastAsia" w:ascii="仿宋_GB2312" w:hAnsi="仿宋" w:eastAsia="仿宋_GB2312"/>
          <w:sz w:val="32"/>
          <w:szCs w:val="32"/>
        </w:rPr>
        <w:t>5.及时跟进学员的入托考勤情况，对请假、迟到和早退的应打电话联系其家属了解情况。</w:t>
      </w:r>
    </w:p>
    <w:p>
      <w:pPr>
        <w:ind w:firstLine="630" w:firstLineChars="196"/>
        <w:rPr>
          <w:rFonts w:ascii="仿宋_GB2312" w:hAnsi="仿宋" w:eastAsia="仿宋_GB2312"/>
          <w:b/>
          <w:sz w:val="32"/>
          <w:szCs w:val="32"/>
        </w:rPr>
      </w:pPr>
      <w:bookmarkStart w:id="53" w:name="_Toc23350"/>
      <w:bookmarkStart w:id="54" w:name="_Toc17775"/>
      <w:bookmarkStart w:id="55" w:name="_Toc28091"/>
      <w:bookmarkStart w:id="56" w:name="_Toc6932"/>
      <w:bookmarkStart w:id="57" w:name="_Toc29067"/>
      <w:r>
        <w:rPr>
          <w:rFonts w:hint="eastAsia" w:ascii="仿宋_GB2312" w:hAnsi="仿宋" w:eastAsia="仿宋_GB2312"/>
          <w:b/>
          <w:sz w:val="32"/>
          <w:szCs w:val="32"/>
        </w:rPr>
        <w:t>第三十二条  【生活自理能力训练】</w:t>
      </w:r>
    </w:p>
    <w:bookmarkEnd w:id="53"/>
    <w:bookmarkEnd w:id="54"/>
    <w:bookmarkEnd w:id="55"/>
    <w:bookmarkEnd w:id="56"/>
    <w:bookmarkEnd w:id="57"/>
    <w:p>
      <w:pPr>
        <w:ind w:firstLine="627" w:firstLineChars="196"/>
        <w:rPr>
          <w:rFonts w:ascii="仿宋_GB2312" w:hAnsi="仿宋" w:eastAsia="仿宋_GB2312"/>
          <w:sz w:val="32"/>
          <w:szCs w:val="32"/>
        </w:rPr>
      </w:pPr>
      <w:r>
        <w:rPr>
          <w:rFonts w:hint="eastAsia" w:ascii="仿宋_GB2312" w:hAnsi="仿宋" w:eastAsia="仿宋_GB2312"/>
          <w:sz w:val="32"/>
          <w:szCs w:val="32"/>
        </w:rPr>
        <w:t>根据学员的需求和特点，制订适宜的训练计划，集体课程计划应当张贴在显著位置。</w:t>
      </w:r>
    </w:p>
    <w:p>
      <w:pPr>
        <w:ind w:firstLine="627" w:firstLineChars="196"/>
        <w:rPr>
          <w:rFonts w:ascii="仿宋_GB2312" w:hAnsi="仿宋" w:eastAsia="仿宋_GB2312"/>
          <w:sz w:val="32"/>
          <w:szCs w:val="32"/>
        </w:rPr>
      </w:pPr>
      <w:r>
        <w:rPr>
          <w:rFonts w:hint="eastAsia" w:ascii="仿宋_GB2312" w:hAnsi="仿宋" w:eastAsia="仿宋_GB2312"/>
          <w:sz w:val="32"/>
          <w:szCs w:val="32"/>
        </w:rPr>
        <w:t>1.指导学员进行自行洗漱、更衣、进食、如厕等基本生活自理活动训练。</w:t>
      </w:r>
    </w:p>
    <w:p>
      <w:pPr>
        <w:ind w:firstLine="627" w:firstLineChars="196"/>
        <w:rPr>
          <w:rFonts w:ascii="仿宋_GB2312" w:hAnsi="仿宋" w:eastAsia="仿宋_GB2312"/>
          <w:sz w:val="32"/>
          <w:szCs w:val="32"/>
        </w:rPr>
      </w:pPr>
      <w:r>
        <w:rPr>
          <w:rFonts w:hint="eastAsia" w:ascii="仿宋_GB2312" w:hAnsi="仿宋" w:eastAsia="仿宋_GB2312"/>
          <w:sz w:val="32"/>
          <w:szCs w:val="32"/>
        </w:rPr>
        <w:t>2.帮助学员有计划地进行清洁卫生、饮食料理等家务劳动能力训练，提供自助饮食、清洗衣物、整理床铺、公共场所卫生清洁服务等培训活动。</w:t>
      </w:r>
    </w:p>
    <w:p>
      <w:pPr>
        <w:ind w:firstLine="627" w:firstLineChars="196"/>
        <w:rPr>
          <w:rFonts w:ascii="仿宋_GB2312" w:hAnsi="仿宋" w:eastAsia="仿宋_GB2312"/>
          <w:sz w:val="32"/>
          <w:szCs w:val="32"/>
        </w:rPr>
      </w:pPr>
      <w:r>
        <w:rPr>
          <w:rFonts w:hint="eastAsia" w:ascii="仿宋_GB2312" w:hAnsi="仿宋" w:eastAsia="仿宋_GB2312"/>
          <w:sz w:val="32"/>
          <w:szCs w:val="32"/>
        </w:rPr>
        <w:t xml:space="preserve">3.可通过早会、早教课、小组工作、活动等形式培训学员用电用火安全知识，通过情景模拟、视频观察等形式教会学员使用110、120、119 等电话及相应情形。 </w:t>
      </w:r>
    </w:p>
    <w:p>
      <w:pPr>
        <w:ind w:firstLine="627" w:firstLineChars="196"/>
        <w:rPr>
          <w:rFonts w:ascii="仿宋_GB2312" w:hAnsi="仿宋" w:eastAsia="仿宋_GB2312"/>
          <w:sz w:val="32"/>
          <w:szCs w:val="32"/>
        </w:rPr>
      </w:pPr>
      <w:r>
        <w:rPr>
          <w:rFonts w:hint="eastAsia" w:ascii="仿宋_GB2312" w:hAnsi="仿宋" w:eastAsia="仿宋_GB2312"/>
          <w:sz w:val="32"/>
          <w:szCs w:val="32"/>
        </w:rPr>
        <w:t>4.宜定期组织生活自理能力评估，评估结果记录存档，并依此调整或完善训练计划。</w:t>
      </w:r>
    </w:p>
    <w:p>
      <w:pPr>
        <w:ind w:firstLine="630" w:firstLineChars="196"/>
        <w:rPr>
          <w:rFonts w:ascii="仿宋_GB2312" w:hAnsi="仿宋" w:eastAsia="仿宋_GB2312"/>
          <w:b/>
          <w:sz w:val="32"/>
          <w:szCs w:val="32"/>
        </w:rPr>
      </w:pPr>
      <w:bookmarkStart w:id="58" w:name="_Toc19481"/>
      <w:bookmarkStart w:id="59" w:name="_Toc19070"/>
      <w:bookmarkStart w:id="60" w:name="_Toc4079"/>
      <w:bookmarkStart w:id="61" w:name="_Toc15839"/>
      <w:bookmarkStart w:id="62" w:name="_Toc28377"/>
      <w:r>
        <w:rPr>
          <w:rFonts w:hint="eastAsia" w:ascii="仿宋_GB2312" w:hAnsi="仿宋" w:eastAsia="仿宋_GB2312"/>
          <w:b/>
          <w:sz w:val="32"/>
          <w:szCs w:val="32"/>
        </w:rPr>
        <w:t>第三十三条  【社会适应能力训练】</w:t>
      </w:r>
    </w:p>
    <w:bookmarkEnd w:id="58"/>
    <w:bookmarkEnd w:id="59"/>
    <w:bookmarkEnd w:id="60"/>
    <w:bookmarkEnd w:id="61"/>
    <w:bookmarkEnd w:id="62"/>
    <w:p>
      <w:pPr>
        <w:ind w:firstLine="627" w:firstLineChars="196"/>
        <w:rPr>
          <w:rFonts w:ascii="仿宋_GB2312" w:hAnsi="仿宋" w:eastAsia="仿宋_GB2312"/>
          <w:sz w:val="32"/>
          <w:szCs w:val="32"/>
        </w:rPr>
      </w:pPr>
      <w:r>
        <w:rPr>
          <w:rFonts w:hint="eastAsia" w:ascii="仿宋_GB2312" w:hAnsi="仿宋" w:eastAsia="仿宋_GB2312"/>
          <w:sz w:val="32"/>
          <w:szCs w:val="32"/>
        </w:rPr>
        <w:t>1.可采用演示教学、布置实习作业等方法，针对社会交往和社会参与等方面指导学员在模拟场景（如超市、银行、医院、公共交通等简单社会场景）中进行社会适应性训练，提供物品购买、钱币存取、挂号取药、交通工具乘坐、寻求帮助等培训项目。</w:t>
      </w:r>
    </w:p>
    <w:p>
      <w:pPr>
        <w:ind w:firstLine="627" w:firstLineChars="196"/>
        <w:rPr>
          <w:rFonts w:ascii="仿宋_GB2312" w:hAnsi="仿宋" w:eastAsia="仿宋_GB2312"/>
          <w:sz w:val="32"/>
          <w:szCs w:val="32"/>
        </w:rPr>
      </w:pPr>
      <w:r>
        <w:rPr>
          <w:rFonts w:hint="eastAsia" w:ascii="仿宋_GB2312" w:hAnsi="仿宋" w:eastAsia="仿宋_GB2312"/>
          <w:sz w:val="32"/>
          <w:szCs w:val="32"/>
        </w:rPr>
        <w:t>2. 定期安排学员家属或监护人、志愿者到区康园中心内进行活动，鼓励学员接待访客或外出参加社区或社会公益活动，逐步拓展直接参与社会生活方面的能力。</w:t>
      </w:r>
    </w:p>
    <w:p>
      <w:pPr>
        <w:ind w:firstLine="627" w:firstLineChars="196"/>
        <w:rPr>
          <w:rFonts w:ascii="仿宋_GB2312" w:hAnsi="仿宋" w:eastAsia="仿宋_GB2312"/>
          <w:sz w:val="32"/>
          <w:szCs w:val="32"/>
        </w:rPr>
      </w:pPr>
      <w:r>
        <w:rPr>
          <w:rFonts w:hint="eastAsia" w:ascii="仿宋_GB2312" w:hAnsi="仿宋" w:eastAsia="仿宋_GB2312"/>
          <w:sz w:val="32"/>
          <w:szCs w:val="32"/>
        </w:rPr>
        <w:t>3.为有需要的学员提供教育培训、图书阅览、上网、收看电视和收听广播等服务，使其对社会和舆情具备一定的知晓度。</w:t>
      </w:r>
    </w:p>
    <w:p>
      <w:pPr>
        <w:ind w:firstLine="627" w:firstLineChars="196"/>
        <w:rPr>
          <w:rFonts w:ascii="仿宋_GB2312" w:hAnsi="仿宋" w:eastAsia="仿宋_GB2312"/>
          <w:sz w:val="32"/>
          <w:szCs w:val="32"/>
        </w:rPr>
      </w:pPr>
      <w:r>
        <w:rPr>
          <w:rFonts w:hint="eastAsia" w:ascii="仿宋_GB2312" w:hAnsi="仿宋" w:eastAsia="仿宋_GB2312"/>
          <w:sz w:val="32"/>
          <w:szCs w:val="32"/>
        </w:rPr>
        <w:t>（注：教育培训可包括普及基本礼仪和两性知识等社会行为准则和常识，提供沟通能力和沟通技巧的培训等内容）。</w:t>
      </w:r>
    </w:p>
    <w:p>
      <w:pPr>
        <w:ind w:firstLine="627" w:firstLineChars="196"/>
        <w:rPr>
          <w:rFonts w:ascii="仿宋_GB2312" w:hAnsi="仿宋" w:eastAsia="仿宋_GB2312"/>
          <w:sz w:val="32"/>
          <w:szCs w:val="32"/>
        </w:rPr>
      </w:pPr>
      <w:r>
        <w:rPr>
          <w:rFonts w:hint="eastAsia" w:ascii="仿宋_GB2312" w:hAnsi="仿宋" w:eastAsia="仿宋_GB2312"/>
          <w:sz w:val="32"/>
          <w:szCs w:val="32"/>
        </w:rPr>
        <w:t>4.为学员提供心理疏导和心理健康服务，定期进行社会适应性测评；密切关注心理和行为出现异常的学员，可召集专业人员进行座谈分析，为其制订行为矫正方案。心理和行为出现极端异常、严重影响其他学员正常生活甚至人身安全的，应立即转介至专业医疗机构就诊。</w:t>
      </w:r>
    </w:p>
    <w:p>
      <w:pPr>
        <w:ind w:firstLine="627" w:firstLineChars="196"/>
        <w:rPr>
          <w:rFonts w:ascii="仿宋_GB2312" w:hAnsi="仿宋" w:eastAsia="仿宋_GB2312"/>
          <w:sz w:val="32"/>
          <w:szCs w:val="32"/>
        </w:rPr>
      </w:pPr>
      <w:r>
        <w:rPr>
          <w:rFonts w:hint="eastAsia" w:ascii="仿宋_GB2312" w:hAnsi="仿宋" w:eastAsia="仿宋_GB2312"/>
          <w:sz w:val="32"/>
          <w:szCs w:val="32"/>
        </w:rPr>
        <w:t>5.定期组织社会适应能力评估，评估内容包括：沟通能力、自信心、情绪管理、社区融合和家庭 服务等，评估结果记录存档。</w:t>
      </w:r>
    </w:p>
    <w:p>
      <w:pPr>
        <w:ind w:firstLine="630" w:firstLineChars="196"/>
        <w:rPr>
          <w:rFonts w:ascii="仿宋_GB2312" w:hAnsi="仿宋" w:eastAsia="仿宋_GB2312"/>
          <w:b/>
          <w:sz w:val="32"/>
          <w:szCs w:val="32"/>
        </w:rPr>
      </w:pPr>
      <w:bookmarkStart w:id="63" w:name="_Toc4307"/>
      <w:bookmarkStart w:id="64" w:name="_Toc30812"/>
      <w:bookmarkStart w:id="65" w:name="_Toc2780"/>
      <w:bookmarkStart w:id="66" w:name="_Toc32606"/>
      <w:bookmarkStart w:id="67" w:name="_Toc17297"/>
      <w:r>
        <w:rPr>
          <w:rFonts w:hint="eastAsia" w:ascii="仿宋_GB2312" w:hAnsi="仿宋" w:eastAsia="仿宋_GB2312"/>
          <w:b/>
          <w:sz w:val="32"/>
          <w:szCs w:val="32"/>
        </w:rPr>
        <w:t>第三十四条【职业康复与劳动技能工疗训练】</w:t>
      </w:r>
    </w:p>
    <w:bookmarkEnd w:id="63"/>
    <w:bookmarkEnd w:id="64"/>
    <w:bookmarkEnd w:id="65"/>
    <w:bookmarkEnd w:id="66"/>
    <w:bookmarkEnd w:id="67"/>
    <w:p>
      <w:pPr>
        <w:ind w:firstLine="627" w:firstLineChars="196"/>
        <w:rPr>
          <w:rFonts w:ascii="仿宋_GB2312" w:hAnsi="仿宋" w:eastAsia="仿宋_GB2312"/>
          <w:sz w:val="32"/>
          <w:szCs w:val="32"/>
        </w:rPr>
      </w:pPr>
      <w:r>
        <w:rPr>
          <w:rFonts w:hint="eastAsia" w:ascii="仿宋_GB2312" w:hAnsi="仿宋" w:eastAsia="仿宋_GB2312"/>
          <w:sz w:val="32"/>
          <w:szCs w:val="32"/>
        </w:rPr>
        <w:t>为学员提供职业适应性测评、职业规划指导、职业心理咨询、职业介绍和职业康复训练等</w:t>
      </w:r>
    </w:p>
    <w:p>
      <w:pPr>
        <w:ind w:firstLine="627" w:firstLineChars="196"/>
        <w:rPr>
          <w:rFonts w:ascii="仿宋_GB2312" w:hAnsi="仿宋" w:eastAsia="仿宋_GB2312"/>
          <w:sz w:val="32"/>
          <w:szCs w:val="32"/>
        </w:rPr>
      </w:pPr>
      <w:r>
        <w:rPr>
          <w:rFonts w:hint="eastAsia" w:ascii="仿宋_GB2312" w:hAnsi="仿宋" w:eastAsia="仿宋_GB2312"/>
          <w:sz w:val="32"/>
          <w:szCs w:val="32"/>
        </w:rPr>
        <w:t>1.在学员参与生产劳动前，根据个人实际情况，进行必要的安全和技能培训。</w:t>
      </w:r>
    </w:p>
    <w:p>
      <w:pPr>
        <w:ind w:firstLine="627" w:firstLineChars="196"/>
        <w:rPr>
          <w:rFonts w:ascii="仿宋_GB2312" w:hAnsi="仿宋" w:eastAsia="仿宋_GB2312"/>
          <w:sz w:val="32"/>
          <w:szCs w:val="32"/>
        </w:rPr>
      </w:pPr>
      <w:bookmarkStart w:id="68" w:name="_Hlk54735631"/>
      <w:r>
        <w:rPr>
          <w:rFonts w:hint="eastAsia" w:ascii="仿宋_GB2312" w:hAnsi="仿宋" w:eastAsia="仿宋_GB2312"/>
          <w:sz w:val="32"/>
          <w:szCs w:val="32"/>
        </w:rPr>
        <w:t>2.组织有需要的学员开展与其行为能力相适应的辅助性生产劳动，比如手工艺品加工制作、保洁、种养殖、盆栽花艺、组装零配件、理发、烹饪烘焙、电脑操作等，劳动时间、劳动强度、劳动安全保护应与学员相匹配。</w:t>
      </w:r>
    </w:p>
    <w:bookmarkEnd w:id="68"/>
    <w:p>
      <w:pPr>
        <w:ind w:firstLine="627" w:firstLineChars="196"/>
        <w:rPr>
          <w:rFonts w:ascii="仿宋_GB2312" w:hAnsi="仿宋" w:eastAsia="仿宋_GB2312"/>
          <w:sz w:val="32"/>
          <w:szCs w:val="32"/>
        </w:rPr>
      </w:pPr>
      <w:r>
        <w:rPr>
          <w:rFonts w:hint="eastAsia" w:ascii="仿宋_GB2312" w:hAnsi="仿宋" w:eastAsia="仿宋_GB2312"/>
          <w:sz w:val="32"/>
          <w:szCs w:val="32"/>
        </w:rPr>
        <w:t>3.对于有就业意愿的残疾人，提供辅助性就业等服务的各级康园工疗机构可以组织开展适宜的辅助性生产劳动项目，并与参与劳动的学员或其监护人、近亲属签订相关协议，符合劳动合同法律法规规定的，依法签订劳动合同。</w:t>
      </w:r>
    </w:p>
    <w:p>
      <w:pPr>
        <w:ind w:firstLine="630" w:firstLineChars="196"/>
        <w:rPr>
          <w:rFonts w:ascii="仿宋_GB2312" w:hAnsi="仿宋" w:eastAsia="仿宋_GB2312"/>
          <w:b/>
          <w:sz w:val="32"/>
          <w:szCs w:val="32"/>
        </w:rPr>
      </w:pPr>
      <w:bookmarkStart w:id="69" w:name="_Toc8953"/>
      <w:bookmarkStart w:id="70" w:name="_Toc11506"/>
      <w:bookmarkStart w:id="71" w:name="_Toc15615"/>
      <w:bookmarkStart w:id="72" w:name="_Toc372"/>
      <w:bookmarkStart w:id="73" w:name="_Toc16873"/>
      <w:r>
        <w:rPr>
          <w:rFonts w:hint="eastAsia" w:ascii="仿宋_GB2312" w:hAnsi="仿宋" w:eastAsia="仿宋_GB2312"/>
          <w:b/>
          <w:bCs/>
          <w:sz w:val="32"/>
          <w:szCs w:val="32"/>
        </w:rPr>
        <w:t>第三十五条</w:t>
      </w:r>
      <w:r>
        <w:rPr>
          <w:rFonts w:hint="eastAsia" w:ascii="仿宋_GB2312" w:hAnsi="仿宋" w:eastAsia="仿宋_GB2312"/>
          <w:b/>
          <w:sz w:val="32"/>
          <w:szCs w:val="32"/>
        </w:rPr>
        <w:t>【文体娱乐及运动功能训练】</w:t>
      </w:r>
    </w:p>
    <w:bookmarkEnd w:id="69"/>
    <w:bookmarkEnd w:id="70"/>
    <w:bookmarkEnd w:id="71"/>
    <w:bookmarkEnd w:id="72"/>
    <w:bookmarkEnd w:id="73"/>
    <w:p>
      <w:pPr>
        <w:ind w:firstLine="627" w:firstLineChars="196"/>
        <w:rPr>
          <w:rFonts w:ascii="仿宋_GB2312" w:hAnsi="仿宋" w:eastAsia="仿宋_GB2312"/>
          <w:sz w:val="32"/>
          <w:szCs w:val="32"/>
        </w:rPr>
      </w:pPr>
      <w:r>
        <w:rPr>
          <w:rFonts w:hint="eastAsia" w:ascii="仿宋_GB2312" w:hAnsi="仿宋" w:eastAsia="仿宋_GB2312"/>
          <w:sz w:val="32"/>
          <w:szCs w:val="32"/>
        </w:rPr>
        <w:t>1.应定期开展有助于学员人际交往能力提升和兴趣培养的文化娱乐活动，如开展文化补习、书报阅读、上网服务和健康、科学知识宣传普及活动；开展健身、文体活动以及残疾人艺术活动；开展舞蹈、游戏、跑步、体操、篮球、跳绳等文体娱乐活动，并记录学员的出勤情况，有助于学员人际交往能力提升和兴趣培养。</w:t>
      </w:r>
    </w:p>
    <w:p>
      <w:pPr>
        <w:ind w:firstLine="627" w:firstLineChars="196"/>
        <w:rPr>
          <w:rFonts w:ascii="仿宋_GB2312" w:hAnsi="仿宋" w:eastAsia="仿宋_GB2312"/>
          <w:sz w:val="32"/>
          <w:szCs w:val="32"/>
        </w:rPr>
      </w:pPr>
      <w:r>
        <w:rPr>
          <w:rFonts w:hint="eastAsia" w:ascii="仿宋_GB2312" w:hAnsi="仿宋" w:eastAsia="仿宋_GB2312"/>
          <w:sz w:val="32"/>
          <w:szCs w:val="32"/>
        </w:rPr>
        <w:t>2.根据学员的身体情况及各级康园工疗机构实际，为有需要的学员提供运动功能康复训练服务，如体能训练、平衡能力训练、协调能力训练，并指导学员安全、规范地使用运动辅助器具，帮助其身体运动功能得到恢复或代偿。</w:t>
      </w:r>
    </w:p>
    <w:p>
      <w:pPr>
        <w:ind w:firstLine="627" w:firstLineChars="196"/>
        <w:rPr>
          <w:rFonts w:ascii="仿宋_GB2312" w:hAnsi="仿宋" w:eastAsia="仿宋_GB2312"/>
          <w:sz w:val="32"/>
          <w:szCs w:val="32"/>
        </w:rPr>
      </w:pPr>
      <w:r>
        <w:rPr>
          <w:rFonts w:hint="eastAsia" w:ascii="仿宋_GB2312" w:hAnsi="仿宋" w:eastAsia="仿宋_GB2312"/>
          <w:sz w:val="32"/>
          <w:szCs w:val="32"/>
        </w:rPr>
        <w:t>3.定期对学员的家属或监护人进行培训，形成工疗、家属/监护人和学员功能训练体系，使学员在工疗站之外也能得到持续的文体娱乐及运动功能训练。</w:t>
      </w:r>
    </w:p>
    <w:bookmarkEnd w:id="51"/>
    <w:p>
      <w:pPr>
        <w:ind w:firstLine="643" w:firstLineChars="200"/>
        <w:jc w:val="left"/>
        <w:outlineLvl w:val="1"/>
        <w:rPr>
          <w:rFonts w:ascii="仿宋_GB2312" w:hAnsi="仿宋" w:eastAsia="仿宋_GB2312"/>
          <w:b/>
          <w:sz w:val="32"/>
          <w:szCs w:val="32"/>
        </w:rPr>
      </w:pPr>
      <w:bookmarkStart w:id="74" w:name="_Hlk54735888"/>
      <w:r>
        <w:rPr>
          <w:rFonts w:hint="eastAsia" w:ascii="仿宋_GB2312" w:hAnsi="仿宋" w:eastAsia="仿宋_GB2312"/>
          <w:b/>
          <w:bCs/>
          <w:sz w:val="32"/>
          <w:szCs w:val="32"/>
        </w:rPr>
        <w:t>第三十六条</w:t>
      </w:r>
      <w:r>
        <w:rPr>
          <w:rFonts w:hint="eastAsia" w:ascii="仿宋_GB2312" w:hAnsi="仿宋" w:eastAsia="仿宋_GB2312"/>
          <w:b/>
          <w:sz w:val="32"/>
          <w:szCs w:val="32"/>
        </w:rPr>
        <w:t>【助残宣传教育】</w:t>
      </w:r>
    </w:p>
    <w:p>
      <w:pPr>
        <w:ind w:firstLine="640" w:firstLineChars="200"/>
        <w:jc w:val="left"/>
        <w:outlineLvl w:val="1"/>
        <w:rPr>
          <w:rFonts w:ascii="仿宋_GB2312" w:hAnsi="仿宋" w:eastAsia="仿宋_GB2312"/>
          <w:sz w:val="32"/>
          <w:szCs w:val="32"/>
        </w:rPr>
      </w:pPr>
      <w:r>
        <w:rPr>
          <w:rFonts w:hint="eastAsia" w:ascii="仿宋_GB2312" w:hAnsi="仿宋" w:eastAsia="仿宋_GB2312"/>
          <w:sz w:val="32"/>
          <w:szCs w:val="32"/>
        </w:rPr>
        <w:t>鼓励工疗站适当开展学员与工作人员共同参与的扶残助残宣传教育和残疾人权益维护工作，增进学员的助残知识获取，动员社会各界力量开展关爱活动。</w:t>
      </w:r>
    </w:p>
    <w:bookmarkEnd w:id="74"/>
    <w:p>
      <w:pPr>
        <w:ind w:firstLine="640"/>
        <w:outlineLvl w:val="1"/>
        <w:rPr>
          <w:rFonts w:ascii="仿宋_GB2312" w:hAnsi="仿宋" w:eastAsia="仿宋_GB2312"/>
          <w:bCs/>
          <w:sz w:val="32"/>
          <w:szCs w:val="32"/>
        </w:rPr>
      </w:pPr>
      <w:bookmarkStart w:id="75" w:name="_Hlk54735932"/>
      <w:r>
        <w:rPr>
          <w:rFonts w:hint="eastAsia" w:ascii="仿宋_GB2312" w:hAnsi="仿宋" w:eastAsia="仿宋_GB2312"/>
          <w:b/>
          <w:sz w:val="32"/>
          <w:szCs w:val="32"/>
        </w:rPr>
        <w:t>第三十七条  【</w:t>
      </w:r>
      <w:r>
        <w:rPr>
          <w:rFonts w:hint="eastAsia" w:ascii="仿宋_GB2312" w:hAnsi="仿宋" w:eastAsia="仿宋_GB2312"/>
          <w:b/>
          <w:bCs/>
          <w:sz w:val="32"/>
          <w:szCs w:val="32"/>
        </w:rPr>
        <w:t>服务质量与评估指标</w:t>
      </w:r>
      <w:r>
        <w:rPr>
          <w:rFonts w:hint="eastAsia" w:ascii="仿宋_GB2312" w:hAnsi="仿宋" w:eastAsia="仿宋_GB2312"/>
          <w:b/>
          <w:sz w:val="32"/>
          <w:szCs w:val="32"/>
        </w:rPr>
        <w:t>】</w:t>
      </w:r>
    </w:p>
    <w:p>
      <w:pPr>
        <w:ind w:firstLine="640"/>
        <w:outlineLvl w:val="1"/>
        <w:rPr>
          <w:rFonts w:ascii="仿宋_GB2312" w:hAnsi="仿宋" w:eastAsia="仿宋_GB2312"/>
          <w:bCs/>
          <w:sz w:val="32"/>
          <w:szCs w:val="32"/>
        </w:rPr>
      </w:pPr>
      <w:r>
        <w:rPr>
          <w:rFonts w:hint="eastAsia" w:ascii="仿宋_GB2312" w:hAnsi="仿宋" w:eastAsia="仿宋_GB2312"/>
          <w:bCs/>
          <w:sz w:val="32"/>
          <w:szCs w:val="32"/>
        </w:rPr>
        <w:t>1.区康园中心应接受政府业务主管部门、市残联以及受其委托之第三方机构之定期评估考核，包括管理水平、服务质量、运行情况等方面。</w:t>
      </w:r>
    </w:p>
    <w:p>
      <w:pPr>
        <w:ind w:firstLine="640"/>
        <w:outlineLvl w:val="1"/>
        <w:rPr>
          <w:rFonts w:ascii="仿宋_GB2312" w:hAnsi="仿宋" w:eastAsia="仿宋_GB2312"/>
          <w:bCs/>
          <w:sz w:val="32"/>
          <w:szCs w:val="32"/>
        </w:rPr>
      </w:pPr>
      <w:r>
        <w:rPr>
          <w:rFonts w:hint="eastAsia" w:ascii="仿宋_GB2312" w:hAnsi="仿宋" w:eastAsia="仿宋_GB2312"/>
          <w:bCs/>
          <w:sz w:val="32"/>
          <w:szCs w:val="32"/>
        </w:rPr>
        <w:t>2.区康园中心应每半年至少进行一次服务质量自我评估考核，以达到自我监督、自我管理和自我提升服务的目的。可以在接受政府业务主管部门、市残联以及受其委托之第三方机构之定期评估考核时提交自查报告和所需材料。</w:t>
      </w:r>
    </w:p>
    <w:p>
      <w:pPr>
        <w:ind w:firstLine="640"/>
        <w:outlineLvl w:val="1"/>
        <w:rPr>
          <w:rFonts w:ascii="仿宋_GB2312" w:hAnsi="仿宋" w:eastAsia="仿宋_GB2312"/>
          <w:bCs/>
          <w:sz w:val="32"/>
          <w:szCs w:val="32"/>
        </w:rPr>
      </w:pPr>
      <w:r>
        <w:rPr>
          <w:rFonts w:hint="eastAsia" w:ascii="仿宋_GB2312" w:hAnsi="仿宋" w:eastAsia="仿宋_GB2312"/>
          <w:bCs/>
          <w:sz w:val="32"/>
          <w:szCs w:val="32"/>
        </w:rPr>
        <w:t>3.工疗站可接受街（镇）社区公益性项目建设考核</w:t>
      </w:r>
      <w:r>
        <w:rPr>
          <w:rFonts w:hint="eastAsia" w:ascii="仿宋_GB2312" w:hAnsi="仿宋" w:eastAsia="仿宋_GB2312"/>
          <w:sz w:val="32"/>
          <w:szCs w:val="32"/>
        </w:rPr>
        <w:t>，</w:t>
      </w:r>
      <w:r>
        <w:rPr>
          <w:rFonts w:hint="eastAsia" w:ascii="仿宋_GB2312" w:hAnsi="仿宋" w:eastAsia="仿宋_GB2312"/>
          <w:bCs/>
          <w:sz w:val="32"/>
          <w:szCs w:val="32"/>
        </w:rPr>
        <w:t xml:space="preserve">将工疗站的服务考核列入街（镇）社区公益性项目建设考核指标。 </w:t>
      </w:r>
    </w:p>
    <w:p>
      <w:pPr>
        <w:ind w:firstLine="640"/>
        <w:outlineLvl w:val="1"/>
        <w:rPr>
          <w:rFonts w:ascii="仿宋_GB2312" w:hAnsi="仿宋" w:eastAsia="仿宋_GB2312"/>
          <w:bCs/>
          <w:sz w:val="32"/>
          <w:szCs w:val="32"/>
        </w:rPr>
      </w:pPr>
      <w:bookmarkStart w:id="76" w:name="_Toc13974"/>
      <w:r>
        <w:rPr>
          <w:rFonts w:hint="eastAsia" w:ascii="仿宋_GB2312" w:hAnsi="仿宋" w:eastAsia="仿宋_GB2312"/>
          <w:bCs/>
          <w:sz w:val="32"/>
          <w:szCs w:val="32"/>
        </w:rPr>
        <w:t>4.市</w:t>
      </w:r>
      <w:r>
        <w:rPr>
          <w:rFonts w:hint="eastAsia" w:ascii="仿宋_GB2312" w:hAnsi="仿宋" w:eastAsia="仿宋_GB2312"/>
          <w:sz w:val="32"/>
          <w:szCs w:val="32"/>
        </w:rPr>
        <w:t>残疾人就业培训服务中心</w:t>
      </w:r>
      <w:r>
        <w:rPr>
          <w:rFonts w:hint="eastAsia" w:ascii="仿宋_GB2312" w:hAnsi="仿宋" w:eastAsia="仿宋_GB2312"/>
          <w:bCs/>
          <w:sz w:val="32"/>
          <w:szCs w:val="32"/>
        </w:rPr>
        <w:t>应建立服务质量评价指标与评价依据，评价依据包含（但不限于）第二到七章内容。服务质量指标上，要求各区康园工疗机构无重大安全意外伤害事故发生、学员出勤率≥70%、学员满意率≥80%；在此基础上，各地区可以结合自身实际以及相互交流之经验，自行设立生活自理能力训练、社会适应能力训练、职业康复与劳动技能工疗训练、文体娱乐及运动功能训练的服务要求、质量标准、服务时长等量化指标，各区指标差异不宜过大。</w:t>
      </w:r>
    </w:p>
    <w:p>
      <w:pPr>
        <w:ind w:firstLine="640"/>
        <w:outlineLvl w:val="1"/>
        <w:rPr>
          <w:rFonts w:ascii="仿宋_GB2312" w:hAnsi="仿宋" w:eastAsia="仿宋_GB2312"/>
          <w:bCs/>
          <w:sz w:val="32"/>
          <w:szCs w:val="32"/>
        </w:rPr>
      </w:pPr>
      <w:r>
        <w:rPr>
          <w:rFonts w:hint="eastAsia" w:ascii="仿宋_GB2312" w:hAnsi="仿宋" w:eastAsia="仿宋_GB2312"/>
          <w:bCs/>
          <w:sz w:val="32"/>
          <w:szCs w:val="32"/>
        </w:rPr>
        <w:t>5.工疗站做好满意度调查</w:t>
      </w:r>
      <w:bookmarkEnd w:id="76"/>
      <w:r>
        <w:rPr>
          <w:rFonts w:hint="eastAsia" w:ascii="仿宋_GB2312" w:hAnsi="仿宋" w:eastAsia="仿宋_GB2312"/>
          <w:bCs/>
          <w:sz w:val="32"/>
          <w:szCs w:val="32"/>
        </w:rPr>
        <w:t>与服务质量跟踪随访，由学员或其监护人在服务阶段性结束后，根据服务内容和服务效果等通过设立意见箱、召开座谈会、家长会、社会投诉等方式定期进行满意度调查；定期进行服务质量跟踪随访，并做好随访记录。</w:t>
      </w:r>
    </w:p>
    <w:p>
      <w:pPr>
        <w:ind w:firstLine="640"/>
        <w:outlineLvl w:val="1"/>
        <w:rPr>
          <w:rFonts w:ascii="仿宋_GB2312" w:hAnsi="仿宋" w:eastAsia="仿宋_GB2312"/>
          <w:bCs/>
          <w:sz w:val="32"/>
          <w:szCs w:val="32"/>
        </w:rPr>
      </w:pPr>
      <w:r>
        <w:rPr>
          <w:rFonts w:hint="eastAsia" w:ascii="仿宋_GB2312" w:hAnsi="仿宋" w:eastAsia="仿宋_GB2312"/>
          <w:bCs/>
          <w:sz w:val="32"/>
          <w:szCs w:val="32"/>
        </w:rPr>
        <w:t>6.工疗站做好家属或监护人反馈意见收集与分析报告，每季度应至少应召开一次家属或监护人会议，或由专人上门家访，收集服务反馈意见和建议，根据反馈信息完成分析报告，对服务质量评价结果进行综合分析，并制定有效整改措施，持续提升残疾人托养服务的能力和水平。</w:t>
      </w:r>
    </w:p>
    <w:bookmarkEnd w:id="75"/>
    <w:p>
      <w:pPr>
        <w:ind w:firstLine="640"/>
        <w:rPr>
          <w:rFonts w:ascii="仿宋_GB2312" w:hAnsi="仿宋" w:eastAsia="仿宋_GB2312"/>
          <w:sz w:val="32"/>
          <w:szCs w:val="32"/>
        </w:rPr>
      </w:pPr>
      <w:r>
        <w:rPr>
          <w:rFonts w:hint="eastAsia" w:ascii="仿宋_GB2312" w:hAnsi="仿宋" w:eastAsia="仿宋_GB2312"/>
          <w:sz w:val="32"/>
          <w:szCs w:val="32"/>
        </w:rPr>
        <w:t>7.各级康园工疗机构可以适当方式公开服务质量评价结果，服务质量评价与激励制度相结合，依此制定相应奖惩制度，以改进服务质量。</w:t>
      </w:r>
    </w:p>
    <w:p>
      <w:pPr>
        <w:jc w:val="center"/>
        <w:outlineLvl w:val="0"/>
        <w:rPr>
          <w:rFonts w:ascii="仿宋_GB2312" w:hAnsi="宋体" w:eastAsia="仿宋_GB2312" w:cs="宋体"/>
          <w:b/>
          <w:sz w:val="32"/>
          <w:szCs w:val="32"/>
        </w:rPr>
      </w:pPr>
      <w:bookmarkStart w:id="77" w:name="_Hlk54733466"/>
      <w:bookmarkStart w:id="78" w:name="_Hlk54736110"/>
      <w:r>
        <w:rPr>
          <w:rFonts w:hint="eastAsia" w:ascii="仿宋_GB2312" w:hAnsi="宋体" w:eastAsia="仿宋_GB2312" w:cs="宋体"/>
          <w:b/>
          <w:sz w:val="32"/>
          <w:szCs w:val="32"/>
        </w:rPr>
        <w:t>第六章 服务规范</w:t>
      </w:r>
    </w:p>
    <w:bookmarkEnd w:id="77"/>
    <w:p>
      <w:pPr>
        <w:ind w:firstLine="630" w:firstLineChars="196"/>
        <w:outlineLvl w:val="1"/>
        <w:rPr>
          <w:rFonts w:ascii="仿宋_GB2312" w:hAnsi="仿宋" w:eastAsia="仿宋_GB2312"/>
          <w:b/>
          <w:bCs/>
          <w:sz w:val="32"/>
          <w:szCs w:val="32"/>
        </w:rPr>
      </w:pPr>
      <w:r>
        <w:rPr>
          <w:rFonts w:hint="eastAsia" w:ascii="仿宋_GB2312" w:hAnsi="仿宋" w:eastAsia="仿宋_GB2312"/>
          <w:b/>
          <w:sz w:val="32"/>
          <w:szCs w:val="32"/>
        </w:rPr>
        <w:t>第三十八条  【</w:t>
      </w:r>
      <w:r>
        <w:rPr>
          <w:rFonts w:hint="eastAsia" w:ascii="仿宋_GB2312" w:hAnsi="仿宋" w:eastAsia="仿宋_GB2312"/>
          <w:b/>
          <w:bCs/>
          <w:sz w:val="32"/>
          <w:szCs w:val="32"/>
        </w:rPr>
        <w:t>工作规范</w:t>
      </w:r>
      <w:r>
        <w:rPr>
          <w:rFonts w:hint="eastAsia" w:ascii="仿宋_GB2312" w:hAnsi="仿宋" w:eastAsia="仿宋_GB2312"/>
          <w:b/>
          <w:sz w:val="32"/>
          <w:szCs w:val="32"/>
        </w:rPr>
        <w:t>】</w:t>
      </w:r>
    </w:p>
    <w:p>
      <w:pPr>
        <w:ind w:firstLine="627" w:firstLineChars="196"/>
        <w:outlineLvl w:val="1"/>
        <w:rPr>
          <w:rFonts w:ascii="仿宋_GB2312" w:hAnsi="仿宋" w:eastAsia="仿宋_GB2312"/>
          <w:sz w:val="32"/>
          <w:szCs w:val="32"/>
        </w:rPr>
      </w:pPr>
      <w:r>
        <w:rPr>
          <w:rFonts w:hint="eastAsia" w:ascii="仿宋_GB2312" w:hAnsi="仿宋" w:eastAsia="仿宋_GB2312"/>
          <w:sz w:val="32"/>
          <w:szCs w:val="32"/>
        </w:rPr>
        <w:t>各级康园工疗机构工作人员要严格遵守本办法之规定，尽最大努力做好学员服务、管理工作。</w:t>
      </w:r>
    </w:p>
    <w:p>
      <w:pPr>
        <w:ind w:firstLine="627" w:firstLineChars="196"/>
        <w:outlineLvl w:val="1"/>
        <w:rPr>
          <w:rFonts w:ascii="仿宋_GB2312" w:hAnsi="仿宋" w:eastAsia="仿宋_GB2312"/>
          <w:sz w:val="32"/>
          <w:szCs w:val="32"/>
        </w:rPr>
      </w:pPr>
      <w:r>
        <w:rPr>
          <w:rFonts w:hint="eastAsia" w:ascii="仿宋_GB2312" w:hAnsi="仿宋" w:eastAsia="仿宋_GB2312"/>
          <w:sz w:val="32"/>
          <w:szCs w:val="32"/>
        </w:rPr>
        <w:t>1.工疗站应保持良好的工疗康复环境，做到安全干净、整洁、无异味。维护正常的工疗训练秩序，督促需要服药的学员按时就医服药，保障学员的健康权益，定期做好学员年度康复情况评估工作（工作表格另附），评估标准根据上级有关部门下发的标准。</w:t>
      </w:r>
    </w:p>
    <w:p>
      <w:pPr>
        <w:ind w:firstLine="627" w:firstLineChars="196"/>
        <w:outlineLvl w:val="1"/>
        <w:rPr>
          <w:rFonts w:ascii="仿宋_GB2312" w:hAnsi="仿宋" w:eastAsia="仿宋_GB2312"/>
          <w:sz w:val="32"/>
          <w:szCs w:val="32"/>
        </w:rPr>
      </w:pPr>
      <w:r>
        <w:rPr>
          <w:rFonts w:hint="eastAsia" w:ascii="仿宋_GB2312" w:hAnsi="仿宋" w:eastAsia="仿宋_GB2312"/>
          <w:sz w:val="32"/>
          <w:szCs w:val="32"/>
        </w:rPr>
        <w:t>2.工疗站应监督、指导学员认真完成工疗康复训练项目，注重培训学员的生活自理能力、社会适应能力和劳动就业能力，每年进行一次训练效果评估，符合条件的给予推荐就业(工作表格另附)，并做好跟踪服务（工作表格另附）。</w:t>
      </w:r>
    </w:p>
    <w:p>
      <w:pPr>
        <w:ind w:firstLine="627" w:firstLineChars="196"/>
        <w:outlineLvl w:val="1"/>
        <w:rPr>
          <w:rFonts w:ascii="仿宋_GB2312" w:hAnsi="仿宋" w:eastAsia="仿宋_GB2312"/>
          <w:sz w:val="32"/>
          <w:szCs w:val="32"/>
        </w:rPr>
      </w:pPr>
      <w:r>
        <w:rPr>
          <w:rFonts w:hint="eastAsia" w:ascii="仿宋_GB2312" w:hAnsi="仿宋" w:eastAsia="仿宋_GB2312"/>
          <w:sz w:val="32"/>
          <w:szCs w:val="32"/>
        </w:rPr>
        <w:t>3.工疗站应注重掌握学员的情况变化，及时提供心理疏导和帮助，及时纠正违纪违规及不礼貌行为，为学员提供有针对性的个性化服务，定期访谈学员，了解学员的需求和生活情况（工作表格另附）。</w:t>
      </w:r>
    </w:p>
    <w:p>
      <w:pPr>
        <w:ind w:firstLine="627" w:firstLineChars="196"/>
        <w:outlineLvl w:val="1"/>
        <w:rPr>
          <w:rFonts w:ascii="仿宋_GB2312" w:hAnsi="仿宋" w:eastAsia="仿宋_GB2312"/>
          <w:sz w:val="32"/>
          <w:szCs w:val="32"/>
        </w:rPr>
      </w:pPr>
      <w:r>
        <w:rPr>
          <w:rFonts w:hint="eastAsia" w:ascii="仿宋_GB2312" w:hAnsi="仿宋" w:eastAsia="仿宋_GB2312"/>
          <w:sz w:val="32"/>
          <w:szCs w:val="32"/>
        </w:rPr>
        <w:t>4.条件允许的工疗站应给路途较远的学员提供午餐和午休的服务，解决学员多次往返的困难。</w:t>
      </w:r>
    </w:p>
    <w:p>
      <w:pPr>
        <w:ind w:firstLine="627" w:firstLineChars="196"/>
        <w:outlineLvl w:val="1"/>
        <w:rPr>
          <w:rFonts w:ascii="仿宋_GB2312" w:hAnsi="仿宋" w:eastAsia="仿宋_GB2312"/>
          <w:sz w:val="32"/>
          <w:szCs w:val="32"/>
        </w:rPr>
      </w:pPr>
      <w:r>
        <w:rPr>
          <w:rFonts w:hint="eastAsia" w:ascii="仿宋_GB2312" w:hAnsi="仿宋" w:eastAsia="仿宋_GB2312"/>
          <w:sz w:val="32"/>
          <w:szCs w:val="32"/>
        </w:rPr>
        <w:t>5.工疗站应要加强与学员家属沟通，了解其居家生活情况，发现有特殊困难的，应及时给予帮助解决，每年不少于1次上门家访，并做好情况记录（工作表格另附）。</w:t>
      </w:r>
    </w:p>
    <w:bookmarkEnd w:id="78"/>
    <w:p>
      <w:pPr>
        <w:ind w:firstLine="630" w:firstLineChars="196"/>
        <w:outlineLvl w:val="1"/>
        <w:rPr>
          <w:rFonts w:ascii="仿宋_GB2312" w:hAnsi="仿宋" w:eastAsia="仿宋_GB2312"/>
          <w:b/>
          <w:bCs/>
          <w:sz w:val="32"/>
          <w:szCs w:val="32"/>
        </w:rPr>
      </w:pPr>
      <w:bookmarkStart w:id="79" w:name="_Hlk54736138"/>
      <w:r>
        <w:rPr>
          <w:rFonts w:hint="eastAsia" w:ascii="仿宋_GB2312" w:hAnsi="仿宋" w:eastAsia="仿宋_GB2312"/>
          <w:b/>
          <w:sz w:val="32"/>
          <w:szCs w:val="32"/>
        </w:rPr>
        <w:t>第三十九条</w:t>
      </w:r>
      <w:bookmarkStart w:id="80" w:name="_Hlk54624557"/>
      <w:r>
        <w:rPr>
          <w:rFonts w:hint="eastAsia" w:ascii="仿宋_GB2312" w:hAnsi="仿宋" w:eastAsia="仿宋_GB2312"/>
          <w:b/>
          <w:sz w:val="32"/>
          <w:szCs w:val="32"/>
        </w:rPr>
        <w:t>【</w:t>
      </w:r>
      <w:r>
        <w:rPr>
          <w:rFonts w:hint="eastAsia" w:ascii="仿宋_GB2312" w:hAnsi="仿宋" w:eastAsia="仿宋_GB2312"/>
          <w:b/>
          <w:bCs/>
          <w:sz w:val="32"/>
          <w:szCs w:val="32"/>
        </w:rPr>
        <w:t>品德规范</w:t>
      </w:r>
      <w:r>
        <w:rPr>
          <w:rFonts w:hint="eastAsia" w:ascii="仿宋_GB2312" w:hAnsi="仿宋" w:eastAsia="仿宋_GB2312"/>
          <w:b/>
          <w:sz w:val="32"/>
          <w:szCs w:val="32"/>
        </w:rPr>
        <w:t>】</w:t>
      </w:r>
      <w:bookmarkEnd w:id="80"/>
    </w:p>
    <w:p>
      <w:pPr>
        <w:ind w:firstLine="627" w:firstLineChars="196"/>
        <w:outlineLvl w:val="1"/>
        <w:rPr>
          <w:rFonts w:ascii="仿宋_GB2312" w:hAnsi="仿宋" w:eastAsia="仿宋_GB2312"/>
          <w:sz w:val="32"/>
          <w:szCs w:val="32"/>
        </w:rPr>
      </w:pPr>
      <w:r>
        <w:rPr>
          <w:rFonts w:hint="eastAsia" w:ascii="仿宋_GB2312" w:hAnsi="仿宋" w:eastAsia="仿宋_GB2312"/>
          <w:sz w:val="32"/>
          <w:szCs w:val="32"/>
        </w:rPr>
        <w:t>各级康园工疗机构工作人员要尊重、照顾、帮助学员积极参加工疗康复训练。</w:t>
      </w:r>
    </w:p>
    <w:p>
      <w:pPr>
        <w:ind w:firstLine="627" w:firstLineChars="196"/>
        <w:outlineLvl w:val="1"/>
        <w:rPr>
          <w:rFonts w:ascii="仿宋_GB2312" w:hAnsi="仿宋" w:eastAsia="仿宋_GB2312"/>
          <w:sz w:val="32"/>
          <w:szCs w:val="32"/>
        </w:rPr>
      </w:pPr>
      <w:r>
        <w:rPr>
          <w:rFonts w:hint="eastAsia" w:ascii="仿宋_GB2312" w:hAnsi="仿宋" w:eastAsia="仿宋_GB2312"/>
          <w:sz w:val="32"/>
          <w:szCs w:val="32"/>
        </w:rPr>
        <w:t>1.不揭学员的缺陷，不对学员污言秽语，不得体罚、非礼学员。</w:t>
      </w:r>
    </w:p>
    <w:p>
      <w:pPr>
        <w:ind w:firstLine="627" w:firstLineChars="196"/>
        <w:outlineLvl w:val="1"/>
        <w:rPr>
          <w:rFonts w:ascii="仿宋_GB2312" w:hAnsi="仿宋" w:eastAsia="仿宋_GB2312"/>
          <w:sz w:val="32"/>
          <w:szCs w:val="32"/>
        </w:rPr>
      </w:pPr>
      <w:r>
        <w:rPr>
          <w:rFonts w:hint="eastAsia" w:ascii="仿宋_GB2312" w:hAnsi="仿宋" w:eastAsia="仿宋_GB2312"/>
          <w:sz w:val="32"/>
          <w:szCs w:val="32"/>
        </w:rPr>
        <w:t>2.学员发生“身体不适”等特殊情况，应积极妥善处理，如因特殊情况需要身体接触，应尽可能由同性别工作人员帮助。</w:t>
      </w:r>
    </w:p>
    <w:p>
      <w:pPr>
        <w:ind w:firstLine="627" w:firstLineChars="196"/>
        <w:outlineLvl w:val="1"/>
        <w:rPr>
          <w:rFonts w:ascii="仿宋_GB2312" w:hAnsi="仿宋" w:eastAsia="仿宋_GB2312"/>
          <w:sz w:val="32"/>
          <w:szCs w:val="32"/>
        </w:rPr>
      </w:pPr>
      <w:r>
        <w:rPr>
          <w:rFonts w:hint="eastAsia" w:ascii="仿宋_GB2312" w:hAnsi="仿宋" w:eastAsia="仿宋_GB2312"/>
          <w:sz w:val="32"/>
          <w:szCs w:val="32"/>
        </w:rPr>
        <w:t>3.主动学习有助于提高工疗康复服务质量的知识，积极参与有助于学员康复和技能培训的工作。</w:t>
      </w:r>
    </w:p>
    <w:p>
      <w:pPr>
        <w:ind w:firstLine="627" w:firstLineChars="196"/>
        <w:outlineLvl w:val="1"/>
        <w:rPr>
          <w:rFonts w:ascii="仿宋_GB2312" w:hAnsi="仿宋" w:eastAsia="仿宋_GB2312"/>
          <w:sz w:val="32"/>
          <w:szCs w:val="32"/>
        </w:rPr>
      </w:pPr>
      <w:r>
        <w:rPr>
          <w:rFonts w:hint="eastAsia" w:ascii="仿宋_GB2312" w:hAnsi="仿宋" w:eastAsia="仿宋_GB2312"/>
          <w:sz w:val="32"/>
          <w:szCs w:val="32"/>
        </w:rPr>
        <w:t>4.虚心接受他人对自己工作的批评指正，并努力在工作过程中改正。</w:t>
      </w:r>
    </w:p>
    <w:bookmarkEnd w:id="79"/>
    <w:p>
      <w:pPr>
        <w:ind w:firstLine="630" w:firstLineChars="196"/>
        <w:outlineLvl w:val="1"/>
        <w:rPr>
          <w:rFonts w:ascii="仿宋_GB2312" w:hAnsi="仿宋" w:eastAsia="仿宋_GB2312"/>
          <w:b/>
          <w:sz w:val="32"/>
          <w:szCs w:val="32"/>
        </w:rPr>
      </w:pPr>
      <w:r>
        <w:rPr>
          <w:rFonts w:hint="eastAsia" w:ascii="仿宋_GB2312" w:hAnsi="仿宋" w:eastAsia="仿宋_GB2312"/>
          <w:b/>
          <w:sz w:val="32"/>
          <w:szCs w:val="32"/>
        </w:rPr>
        <w:t>第四十条【</w:t>
      </w:r>
      <w:r>
        <w:rPr>
          <w:rFonts w:hint="eastAsia" w:ascii="仿宋_GB2312" w:hAnsi="仿宋" w:eastAsia="仿宋_GB2312"/>
          <w:b/>
          <w:bCs/>
          <w:sz w:val="32"/>
          <w:szCs w:val="32"/>
        </w:rPr>
        <w:t>纪律规范</w:t>
      </w:r>
      <w:r>
        <w:rPr>
          <w:rFonts w:hint="eastAsia" w:ascii="仿宋_GB2312" w:hAnsi="仿宋" w:eastAsia="仿宋_GB2312"/>
          <w:b/>
          <w:sz w:val="32"/>
          <w:szCs w:val="32"/>
        </w:rPr>
        <w:t>】</w:t>
      </w:r>
    </w:p>
    <w:p>
      <w:pPr>
        <w:ind w:firstLine="627" w:firstLineChars="196"/>
        <w:outlineLvl w:val="1"/>
        <w:rPr>
          <w:rFonts w:ascii="仿宋_GB2312" w:hAnsi="仿宋" w:eastAsia="仿宋_GB2312"/>
          <w:sz w:val="32"/>
          <w:szCs w:val="32"/>
        </w:rPr>
      </w:pPr>
      <w:r>
        <w:rPr>
          <w:rFonts w:hint="eastAsia" w:ascii="仿宋_GB2312" w:hAnsi="仿宋" w:eastAsia="仿宋_GB2312"/>
          <w:sz w:val="32"/>
          <w:szCs w:val="32"/>
          <w:lang w:eastAsia="zh-CN"/>
        </w:rPr>
        <w:t>一、</w:t>
      </w:r>
      <w:r>
        <w:rPr>
          <w:rFonts w:hint="eastAsia" w:ascii="仿宋_GB2312" w:hAnsi="仿宋" w:eastAsia="仿宋_GB2312"/>
          <w:sz w:val="32"/>
          <w:szCs w:val="32"/>
        </w:rPr>
        <w:t>各级康园工疗机构工作人员要严格遵守劳动纪律和工作纪律，不得违反工疗服务工作的有关规定。</w:t>
      </w:r>
    </w:p>
    <w:p>
      <w:pPr>
        <w:ind w:firstLine="627" w:firstLineChars="196"/>
        <w:outlineLvl w:val="1"/>
        <w:rPr>
          <w:rFonts w:ascii="仿宋_GB2312" w:hAnsi="仿宋" w:eastAsia="仿宋_GB2312"/>
          <w:sz w:val="32"/>
          <w:szCs w:val="32"/>
        </w:rPr>
      </w:pPr>
      <w:r>
        <w:rPr>
          <w:rFonts w:hint="eastAsia" w:ascii="仿宋_GB2312" w:hAnsi="仿宋" w:eastAsia="仿宋_GB2312"/>
          <w:sz w:val="32"/>
          <w:szCs w:val="32"/>
        </w:rPr>
        <w:t>1.工疗站工作人员实行8小时工作制，并规定午休时间，要做好学员到站前的准备工作和学员离站后的场地清理。</w:t>
      </w:r>
    </w:p>
    <w:p>
      <w:pPr>
        <w:ind w:firstLine="627" w:firstLineChars="196"/>
        <w:outlineLvl w:val="1"/>
        <w:rPr>
          <w:rFonts w:ascii="仿宋_GB2312" w:hAnsi="仿宋" w:eastAsia="仿宋_GB2312"/>
          <w:sz w:val="32"/>
          <w:szCs w:val="32"/>
        </w:rPr>
      </w:pPr>
      <w:r>
        <w:rPr>
          <w:rFonts w:hint="eastAsia" w:ascii="仿宋_GB2312" w:hAnsi="仿宋" w:eastAsia="仿宋_GB2312"/>
          <w:sz w:val="32"/>
          <w:szCs w:val="32"/>
        </w:rPr>
        <w:t>2.不做有损残疾人事业，有损康园工疗机构形象的行为，批评抵制不利于工作和团结的言论和行为。</w:t>
      </w:r>
    </w:p>
    <w:p>
      <w:pPr>
        <w:ind w:firstLine="627" w:firstLineChars="196"/>
        <w:outlineLvl w:val="1"/>
        <w:rPr>
          <w:rFonts w:ascii="仿宋_GB2312" w:hAnsi="仿宋" w:eastAsia="仿宋_GB2312"/>
          <w:sz w:val="32"/>
          <w:szCs w:val="32"/>
        </w:rPr>
      </w:pPr>
      <w:r>
        <w:rPr>
          <w:rFonts w:hint="eastAsia" w:ascii="仿宋_GB2312" w:hAnsi="仿宋" w:eastAsia="仿宋_GB2312"/>
          <w:sz w:val="32"/>
          <w:szCs w:val="32"/>
        </w:rPr>
        <w:t>3.鼓励为学员提供义务服务，参与公益活动。</w:t>
      </w:r>
    </w:p>
    <w:p>
      <w:pPr>
        <w:ind w:firstLine="627" w:firstLineChars="196"/>
        <w:outlineLvl w:val="1"/>
        <w:rPr>
          <w:rFonts w:hint="eastAsia" w:ascii="仿宋_GB2312" w:hAnsi="仿宋" w:eastAsia="仿宋_GB2312"/>
          <w:sz w:val="32"/>
          <w:szCs w:val="32"/>
        </w:rPr>
      </w:pPr>
      <w:r>
        <w:rPr>
          <w:rFonts w:hint="eastAsia" w:ascii="仿宋_GB2312" w:hAnsi="仿宋" w:eastAsia="仿宋_GB2312"/>
          <w:sz w:val="32"/>
          <w:szCs w:val="32"/>
          <w:lang w:eastAsia="zh-CN"/>
        </w:rPr>
        <w:t>二、</w:t>
      </w:r>
      <w:r>
        <w:rPr>
          <w:rFonts w:hint="eastAsia" w:ascii="仿宋_GB2312" w:hAnsi="仿宋" w:eastAsia="仿宋_GB2312"/>
          <w:sz w:val="32"/>
          <w:szCs w:val="32"/>
        </w:rPr>
        <w:t>工作人员有下列情形之一的，由区康园中心依法对其予以解聘：</w:t>
      </w:r>
    </w:p>
    <w:p>
      <w:pPr>
        <w:ind w:firstLine="627" w:firstLineChars="196"/>
        <w:outlineLvl w:val="1"/>
        <w:rPr>
          <w:rFonts w:hint="eastAsia" w:ascii="仿宋_GB2312" w:hAnsi="仿宋" w:eastAsia="仿宋_GB2312"/>
          <w:sz w:val="32"/>
          <w:szCs w:val="32"/>
        </w:rPr>
      </w:pPr>
      <w:r>
        <w:rPr>
          <w:rFonts w:hint="eastAsia" w:ascii="仿宋_GB2312" w:hAnsi="仿宋" w:eastAsia="仿宋_GB2312"/>
          <w:sz w:val="32"/>
          <w:szCs w:val="32"/>
        </w:rPr>
        <w:t>1.连续两年考核不合格的。</w:t>
      </w:r>
      <w:bookmarkStart w:id="105" w:name="_GoBack"/>
      <w:bookmarkEnd w:id="105"/>
    </w:p>
    <w:p>
      <w:pPr>
        <w:ind w:firstLine="627" w:firstLineChars="196"/>
        <w:outlineLvl w:val="1"/>
        <w:rPr>
          <w:rFonts w:hint="eastAsia" w:ascii="仿宋_GB2312" w:hAnsi="仿宋" w:eastAsia="仿宋_GB2312"/>
          <w:sz w:val="32"/>
          <w:szCs w:val="32"/>
        </w:rPr>
      </w:pPr>
      <w:r>
        <w:rPr>
          <w:rFonts w:hint="eastAsia" w:ascii="仿宋_GB2312" w:hAnsi="仿宋" w:eastAsia="仿宋_GB2312"/>
          <w:sz w:val="32"/>
          <w:szCs w:val="32"/>
        </w:rPr>
        <w:t>2.经两次催告仍拒不接受年度考核的。</w:t>
      </w:r>
    </w:p>
    <w:p>
      <w:pPr>
        <w:ind w:firstLine="627" w:firstLineChars="196"/>
        <w:outlineLvl w:val="1"/>
        <w:rPr>
          <w:rFonts w:hint="eastAsia" w:ascii="仿宋_GB2312" w:hAnsi="仿宋" w:eastAsia="仿宋_GB2312"/>
          <w:sz w:val="32"/>
          <w:szCs w:val="32"/>
        </w:rPr>
      </w:pPr>
      <w:r>
        <w:rPr>
          <w:rFonts w:hint="eastAsia" w:ascii="仿宋_GB2312" w:hAnsi="仿宋" w:eastAsia="仿宋_GB2312"/>
          <w:sz w:val="32"/>
          <w:szCs w:val="32"/>
        </w:rPr>
        <w:t>3.一年内遭到家属三次投诉且查证属实的。</w:t>
      </w:r>
    </w:p>
    <w:p>
      <w:pPr>
        <w:ind w:firstLine="627" w:firstLineChars="196"/>
        <w:outlineLvl w:val="1"/>
        <w:rPr>
          <w:rFonts w:hint="eastAsia" w:ascii="仿宋_GB2312" w:hAnsi="仿宋" w:eastAsia="仿宋_GB2312"/>
          <w:sz w:val="32"/>
          <w:szCs w:val="32"/>
        </w:rPr>
      </w:pPr>
      <w:r>
        <w:rPr>
          <w:rFonts w:hint="eastAsia" w:ascii="仿宋_GB2312" w:hAnsi="仿宋" w:eastAsia="仿宋_GB2312"/>
          <w:sz w:val="32"/>
          <w:szCs w:val="32"/>
        </w:rPr>
        <w:t>4.严重失职，营私舞弊，造成重大损失的。</w:t>
      </w:r>
    </w:p>
    <w:p>
      <w:pPr>
        <w:ind w:firstLine="627" w:firstLineChars="196"/>
        <w:outlineLvl w:val="1"/>
        <w:rPr>
          <w:rFonts w:hint="eastAsia" w:ascii="仿宋_GB2312" w:hAnsi="仿宋" w:eastAsia="仿宋_GB2312"/>
          <w:sz w:val="32"/>
          <w:szCs w:val="32"/>
        </w:rPr>
      </w:pPr>
      <w:r>
        <w:rPr>
          <w:rFonts w:hint="eastAsia" w:ascii="仿宋_GB2312" w:hAnsi="仿宋" w:eastAsia="仿宋_GB2312"/>
          <w:sz w:val="32"/>
          <w:szCs w:val="32"/>
        </w:rPr>
        <w:t>5.同时与其他用人单位建立劳动关系，对完成本职工作任务造成影响，经区康园中心提出，拒不改正的。</w:t>
      </w:r>
    </w:p>
    <w:p>
      <w:pPr>
        <w:ind w:firstLine="627" w:firstLineChars="196"/>
        <w:outlineLvl w:val="1"/>
        <w:rPr>
          <w:rFonts w:hint="eastAsia" w:ascii="仿宋_GB2312" w:hAnsi="仿宋" w:eastAsia="仿宋_GB2312"/>
          <w:sz w:val="32"/>
          <w:szCs w:val="32"/>
        </w:rPr>
      </w:pPr>
      <w:r>
        <w:rPr>
          <w:rFonts w:hint="eastAsia" w:ascii="仿宋_GB2312" w:hAnsi="仿宋" w:eastAsia="仿宋_GB2312"/>
          <w:sz w:val="32"/>
          <w:szCs w:val="32"/>
        </w:rPr>
        <w:t>6.违反工作职业伦理规范并造成恶劣影响的。</w:t>
      </w:r>
    </w:p>
    <w:p>
      <w:pPr>
        <w:ind w:firstLine="627" w:firstLineChars="196"/>
        <w:outlineLvl w:val="1"/>
        <w:rPr>
          <w:rFonts w:hint="eastAsia" w:ascii="仿宋_GB2312" w:hAnsi="仿宋" w:eastAsia="仿宋_GB2312"/>
          <w:sz w:val="32"/>
          <w:szCs w:val="32"/>
        </w:rPr>
      </w:pPr>
      <w:r>
        <w:rPr>
          <w:rFonts w:hint="eastAsia" w:ascii="仿宋_GB2312" w:hAnsi="仿宋" w:eastAsia="仿宋_GB2312"/>
          <w:sz w:val="32"/>
          <w:szCs w:val="32"/>
        </w:rPr>
        <w:t>7.被依法追究刑事责任的。</w:t>
      </w:r>
    </w:p>
    <w:p>
      <w:pPr>
        <w:ind w:firstLine="627" w:firstLineChars="196"/>
        <w:outlineLvl w:val="1"/>
        <w:rPr>
          <w:rFonts w:hint="eastAsia" w:ascii="仿宋_GB2312" w:hAnsi="仿宋" w:eastAsia="仿宋_GB2312"/>
          <w:sz w:val="32"/>
          <w:szCs w:val="32"/>
        </w:rPr>
      </w:pPr>
      <w:r>
        <w:rPr>
          <w:rFonts w:hint="eastAsia" w:ascii="仿宋_GB2312" w:hAnsi="仿宋" w:eastAsia="仿宋_GB2312"/>
          <w:sz w:val="32"/>
          <w:szCs w:val="32"/>
        </w:rPr>
        <w:t>8.因其他原因不再适合担任本职工作的。</w:t>
      </w:r>
    </w:p>
    <w:p>
      <w:pPr>
        <w:jc w:val="center"/>
        <w:outlineLvl w:val="0"/>
        <w:rPr>
          <w:rFonts w:ascii="仿宋_GB2312" w:hAnsi="宋体" w:eastAsia="仿宋_GB2312" w:cs="宋体"/>
          <w:b/>
          <w:sz w:val="32"/>
          <w:szCs w:val="32"/>
        </w:rPr>
      </w:pPr>
      <w:bookmarkStart w:id="81" w:name="_Hlk54736383"/>
      <w:r>
        <w:rPr>
          <w:rFonts w:hint="eastAsia" w:ascii="仿宋_GB2312" w:hAnsi="宋体" w:eastAsia="仿宋_GB2312" w:cs="宋体"/>
          <w:b/>
          <w:sz w:val="32"/>
          <w:szCs w:val="32"/>
        </w:rPr>
        <w:t>第七章 学员管理</w:t>
      </w:r>
    </w:p>
    <w:p>
      <w:pPr>
        <w:ind w:firstLine="640"/>
        <w:outlineLvl w:val="1"/>
        <w:rPr>
          <w:rFonts w:ascii="仿宋_GB2312" w:hAnsi="仿宋" w:eastAsia="仿宋_GB2312"/>
          <w:b/>
          <w:sz w:val="32"/>
          <w:szCs w:val="32"/>
        </w:rPr>
      </w:pPr>
      <w:r>
        <w:rPr>
          <w:rFonts w:hint="eastAsia" w:ascii="仿宋_GB2312" w:hAnsi="仿宋" w:eastAsia="仿宋_GB2312"/>
          <w:b/>
          <w:sz w:val="32"/>
          <w:szCs w:val="32"/>
        </w:rPr>
        <w:t>第四十一条【</w:t>
      </w:r>
      <w:r>
        <w:rPr>
          <w:rFonts w:hint="eastAsia" w:ascii="仿宋_GB2312" w:hAnsi="仿宋" w:eastAsia="仿宋_GB2312"/>
          <w:b/>
          <w:bCs/>
          <w:sz w:val="32"/>
          <w:szCs w:val="32"/>
        </w:rPr>
        <w:t>纪律要求</w:t>
      </w:r>
      <w:r>
        <w:rPr>
          <w:rFonts w:hint="eastAsia" w:ascii="仿宋_GB2312" w:hAnsi="仿宋" w:eastAsia="仿宋_GB2312"/>
          <w:b/>
          <w:sz w:val="32"/>
          <w:szCs w:val="32"/>
        </w:rPr>
        <w:t>】</w:t>
      </w:r>
    </w:p>
    <w:p>
      <w:pPr>
        <w:ind w:firstLine="640"/>
        <w:outlineLvl w:val="1"/>
        <w:rPr>
          <w:rFonts w:ascii="仿宋_GB2312" w:hAnsi="仿宋" w:eastAsia="仿宋_GB2312"/>
          <w:sz w:val="32"/>
          <w:szCs w:val="32"/>
        </w:rPr>
      </w:pPr>
      <w:r>
        <w:rPr>
          <w:rFonts w:hint="eastAsia" w:ascii="仿宋_GB2312" w:hAnsi="仿宋" w:eastAsia="仿宋_GB2312"/>
          <w:sz w:val="32"/>
          <w:szCs w:val="32"/>
        </w:rPr>
        <w:t>学员进入工疗站参加工疗康复训练期间须遵守以下规定：</w:t>
      </w:r>
    </w:p>
    <w:p>
      <w:pPr>
        <w:ind w:firstLine="640"/>
        <w:outlineLvl w:val="1"/>
        <w:rPr>
          <w:rFonts w:ascii="仿宋_GB2312" w:hAnsi="仿宋" w:eastAsia="仿宋_GB2312"/>
          <w:sz w:val="32"/>
          <w:szCs w:val="32"/>
        </w:rPr>
      </w:pPr>
      <w:r>
        <w:rPr>
          <w:rFonts w:hint="eastAsia" w:ascii="仿宋_GB2312" w:hAnsi="仿宋" w:eastAsia="仿宋_GB2312"/>
          <w:sz w:val="32"/>
          <w:szCs w:val="32"/>
        </w:rPr>
        <w:t>1.保持工疗场所安静、整洁，不喧哗吵闹，不随意吐痰、丢弃垃圾，禁止在场所内吸烟。</w:t>
      </w:r>
    </w:p>
    <w:p>
      <w:pPr>
        <w:ind w:firstLine="640"/>
        <w:outlineLvl w:val="1"/>
        <w:rPr>
          <w:rFonts w:ascii="仿宋_GB2312" w:hAnsi="仿宋" w:eastAsia="仿宋_GB2312"/>
          <w:sz w:val="32"/>
          <w:szCs w:val="32"/>
        </w:rPr>
      </w:pPr>
      <w:r>
        <w:rPr>
          <w:rFonts w:hint="eastAsia" w:ascii="仿宋_GB2312" w:hAnsi="仿宋" w:eastAsia="仿宋_GB2312"/>
          <w:sz w:val="32"/>
          <w:szCs w:val="32"/>
        </w:rPr>
        <w:t>2.不迟到、不早退、不缺勤。如需请假，应提早办理请假手续，有特殊情况须打电话或其他方法向工疗站请假。</w:t>
      </w:r>
    </w:p>
    <w:p>
      <w:pPr>
        <w:ind w:firstLine="640"/>
        <w:outlineLvl w:val="1"/>
        <w:rPr>
          <w:rFonts w:ascii="仿宋_GB2312" w:hAnsi="仿宋" w:eastAsia="仿宋_GB2312"/>
          <w:sz w:val="32"/>
          <w:szCs w:val="32"/>
        </w:rPr>
      </w:pPr>
      <w:r>
        <w:rPr>
          <w:rFonts w:hint="eastAsia" w:ascii="仿宋_GB2312" w:hAnsi="仿宋" w:eastAsia="仿宋_GB2312"/>
          <w:sz w:val="32"/>
          <w:szCs w:val="32"/>
        </w:rPr>
        <w:t>3.工疗站训练结束后，按时回家，不得无故在外逗留。</w:t>
      </w:r>
    </w:p>
    <w:p>
      <w:pPr>
        <w:ind w:firstLine="640"/>
        <w:outlineLvl w:val="1"/>
        <w:rPr>
          <w:rFonts w:ascii="仿宋_GB2312" w:hAnsi="仿宋" w:eastAsia="仿宋_GB2312"/>
          <w:sz w:val="32"/>
          <w:szCs w:val="32"/>
        </w:rPr>
      </w:pPr>
      <w:r>
        <w:rPr>
          <w:rFonts w:hint="eastAsia" w:ascii="仿宋_GB2312" w:hAnsi="仿宋" w:eastAsia="仿宋_GB2312"/>
          <w:sz w:val="32"/>
          <w:szCs w:val="32"/>
        </w:rPr>
        <w:t>4.学员违反有关制度经三次教育无效或出现伤害他人的行为的，可作退站处理。</w:t>
      </w:r>
    </w:p>
    <w:p>
      <w:pPr>
        <w:ind w:firstLine="640"/>
        <w:outlineLvl w:val="1"/>
        <w:rPr>
          <w:rFonts w:ascii="仿宋_GB2312" w:hAnsi="仿宋" w:eastAsia="仿宋_GB2312"/>
          <w:sz w:val="32"/>
          <w:szCs w:val="32"/>
        </w:rPr>
      </w:pPr>
      <w:r>
        <w:rPr>
          <w:rFonts w:hint="eastAsia" w:ascii="仿宋_GB2312" w:hAnsi="仿宋" w:eastAsia="仿宋_GB2312"/>
          <w:sz w:val="32"/>
          <w:szCs w:val="32"/>
        </w:rPr>
        <w:t>5.工疗时间可在星期一至星期五（法定节假日除外）上午9:00至11:30及下午14:00至16:30等时间段内灵活调整，每周劳动训练时间不少于5小时。</w:t>
      </w:r>
    </w:p>
    <w:p>
      <w:pPr>
        <w:ind w:firstLine="640"/>
        <w:outlineLvl w:val="1"/>
        <w:rPr>
          <w:rFonts w:ascii="仿宋_GB2312" w:hAnsi="仿宋" w:eastAsia="仿宋_GB2312"/>
          <w:sz w:val="32"/>
          <w:szCs w:val="32"/>
        </w:rPr>
      </w:pPr>
      <w:r>
        <w:rPr>
          <w:rFonts w:hint="eastAsia" w:ascii="仿宋_GB2312" w:hAnsi="仿宋" w:eastAsia="仿宋_GB2312"/>
          <w:sz w:val="32"/>
          <w:szCs w:val="32"/>
        </w:rPr>
        <w:t>6.对违规的学员的教导应当采取恰当温和的形式，谨忌言语过于激烈，以免刺激到学员。</w:t>
      </w:r>
    </w:p>
    <w:bookmarkEnd w:id="81"/>
    <w:p>
      <w:pPr>
        <w:ind w:firstLine="640"/>
        <w:outlineLvl w:val="1"/>
        <w:rPr>
          <w:rFonts w:ascii="仿宋_GB2312" w:hAnsi="仿宋" w:eastAsia="仿宋_GB2312"/>
          <w:sz w:val="32"/>
          <w:szCs w:val="32"/>
        </w:rPr>
      </w:pPr>
      <w:bookmarkStart w:id="82" w:name="_Hlk54736414"/>
      <w:r>
        <w:rPr>
          <w:rFonts w:hint="eastAsia" w:ascii="仿宋_GB2312" w:hAnsi="仿宋" w:eastAsia="仿宋_GB2312"/>
          <w:b/>
          <w:bCs/>
          <w:sz w:val="32"/>
          <w:szCs w:val="32"/>
        </w:rPr>
        <w:t>第四十二条</w:t>
      </w:r>
      <w:r>
        <w:rPr>
          <w:rFonts w:hint="eastAsia" w:ascii="仿宋_GB2312" w:hAnsi="仿宋" w:eastAsia="仿宋_GB2312"/>
          <w:b/>
          <w:sz w:val="32"/>
          <w:szCs w:val="32"/>
        </w:rPr>
        <w:t>【</w:t>
      </w:r>
      <w:r>
        <w:rPr>
          <w:rFonts w:hint="eastAsia" w:ascii="仿宋_GB2312" w:hAnsi="仿宋" w:eastAsia="仿宋_GB2312"/>
          <w:b/>
          <w:bCs/>
          <w:sz w:val="32"/>
          <w:szCs w:val="32"/>
        </w:rPr>
        <w:t>品德要求</w:t>
      </w:r>
      <w:r>
        <w:rPr>
          <w:rFonts w:hint="eastAsia" w:ascii="仿宋_GB2312" w:hAnsi="仿宋" w:eastAsia="仿宋_GB2312"/>
          <w:b/>
          <w:sz w:val="32"/>
          <w:szCs w:val="32"/>
        </w:rPr>
        <w:t>】</w:t>
      </w:r>
    </w:p>
    <w:p>
      <w:pPr>
        <w:ind w:firstLine="640"/>
        <w:outlineLvl w:val="1"/>
        <w:rPr>
          <w:rFonts w:ascii="仿宋_GB2312" w:hAnsi="仿宋" w:eastAsia="仿宋_GB2312"/>
          <w:sz w:val="32"/>
          <w:szCs w:val="32"/>
        </w:rPr>
      </w:pPr>
      <w:r>
        <w:rPr>
          <w:rFonts w:hint="eastAsia" w:ascii="仿宋_GB2312" w:hAnsi="仿宋" w:eastAsia="仿宋_GB2312"/>
          <w:sz w:val="32"/>
          <w:szCs w:val="32"/>
        </w:rPr>
        <w:t>学员要培养良好的道德品质，做到：</w:t>
      </w:r>
    </w:p>
    <w:p>
      <w:pPr>
        <w:ind w:firstLine="640"/>
        <w:outlineLvl w:val="1"/>
        <w:rPr>
          <w:rFonts w:ascii="仿宋_GB2312" w:hAnsi="仿宋" w:eastAsia="仿宋_GB2312"/>
          <w:sz w:val="32"/>
          <w:szCs w:val="32"/>
        </w:rPr>
      </w:pPr>
      <w:r>
        <w:rPr>
          <w:rFonts w:hint="eastAsia" w:ascii="仿宋_GB2312" w:hAnsi="仿宋" w:eastAsia="仿宋_GB2312"/>
          <w:sz w:val="32"/>
          <w:szCs w:val="32"/>
        </w:rPr>
        <w:t>1.爱护公物。不擅自使用工疗站的生产设备和工具，不损坏工疗产品。</w:t>
      </w:r>
    </w:p>
    <w:p>
      <w:pPr>
        <w:ind w:firstLine="640"/>
        <w:outlineLvl w:val="1"/>
        <w:rPr>
          <w:rFonts w:ascii="仿宋_GB2312" w:hAnsi="仿宋" w:eastAsia="仿宋_GB2312"/>
          <w:sz w:val="32"/>
          <w:szCs w:val="32"/>
        </w:rPr>
      </w:pPr>
      <w:r>
        <w:rPr>
          <w:rFonts w:hint="eastAsia" w:ascii="仿宋_GB2312" w:hAnsi="仿宋" w:eastAsia="仿宋_GB2312"/>
          <w:sz w:val="32"/>
          <w:szCs w:val="32"/>
        </w:rPr>
        <w:t>2.团结友爱，不打人骂人，不得污言秽语，不骚扰他人。</w:t>
      </w:r>
    </w:p>
    <w:bookmarkEnd w:id="82"/>
    <w:p>
      <w:pPr>
        <w:ind w:firstLine="643" w:firstLineChars="200"/>
        <w:outlineLvl w:val="1"/>
        <w:rPr>
          <w:rFonts w:ascii="仿宋_GB2312" w:hAnsi="仿宋" w:eastAsia="仿宋_GB2312"/>
          <w:sz w:val="32"/>
          <w:szCs w:val="32"/>
        </w:rPr>
      </w:pPr>
      <w:bookmarkStart w:id="83" w:name="_Hlk54736441"/>
      <w:r>
        <w:rPr>
          <w:rFonts w:hint="eastAsia" w:ascii="仿宋_GB2312" w:hAnsi="仿宋" w:eastAsia="仿宋_GB2312"/>
          <w:b/>
          <w:sz w:val="32"/>
          <w:szCs w:val="32"/>
        </w:rPr>
        <w:t>第四十三条 【行为要求】</w:t>
      </w:r>
    </w:p>
    <w:p>
      <w:pPr>
        <w:ind w:firstLine="640" w:firstLineChars="200"/>
        <w:outlineLvl w:val="1"/>
        <w:rPr>
          <w:rFonts w:ascii="仿宋_GB2312" w:hAnsi="仿宋" w:eastAsia="仿宋_GB2312"/>
          <w:sz w:val="32"/>
          <w:szCs w:val="32"/>
        </w:rPr>
      </w:pPr>
      <w:r>
        <w:rPr>
          <w:rFonts w:hint="eastAsia" w:ascii="仿宋_GB2312" w:hAnsi="仿宋" w:eastAsia="仿宋_GB2312"/>
          <w:sz w:val="32"/>
          <w:szCs w:val="32"/>
        </w:rPr>
        <w:t>学员要培养良好的行为习惯，做到：</w:t>
      </w:r>
    </w:p>
    <w:p>
      <w:pPr>
        <w:ind w:firstLine="640" w:firstLineChars="200"/>
        <w:outlineLvl w:val="1"/>
        <w:rPr>
          <w:rFonts w:ascii="仿宋_GB2312" w:hAnsi="仿宋" w:eastAsia="仿宋_GB2312"/>
          <w:sz w:val="32"/>
          <w:szCs w:val="32"/>
        </w:rPr>
      </w:pPr>
      <w:r>
        <w:rPr>
          <w:rFonts w:hint="eastAsia" w:ascii="仿宋_GB2312" w:hAnsi="仿宋" w:eastAsia="仿宋_GB2312"/>
          <w:sz w:val="32"/>
          <w:szCs w:val="32"/>
        </w:rPr>
        <w:t>1.保持良好个人卫生，穿着整洁，每天到站要佩戴学员证件。</w:t>
      </w:r>
    </w:p>
    <w:p>
      <w:pPr>
        <w:ind w:firstLine="640" w:firstLineChars="200"/>
        <w:outlineLvl w:val="1"/>
        <w:rPr>
          <w:rFonts w:ascii="仿宋_GB2312" w:hAnsi="仿宋" w:eastAsia="仿宋_GB2312"/>
          <w:sz w:val="32"/>
          <w:szCs w:val="32"/>
        </w:rPr>
      </w:pPr>
      <w:r>
        <w:rPr>
          <w:rFonts w:hint="eastAsia" w:ascii="仿宋_GB2312" w:hAnsi="仿宋" w:eastAsia="仿宋_GB2312"/>
          <w:sz w:val="32"/>
          <w:szCs w:val="32"/>
        </w:rPr>
        <w:t>2.不携带贵重物品、首饰或过多现金回工疗站，若遗失，后果由学员及其监护人承担。</w:t>
      </w:r>
    </w:p>
    <w:p>
      <w:pPr>
        <w:ind w:firstLine="640" w:firstLineChars="200"/>
        <w:outlineLvl w:val="1"/>
        <w:rPr>
          <w:rFonts w:ascii="仿宋_GB2312" w:hAnsi="仿宋" w:eastAsia="仿宋_GB2312"/>
          <w:sz w:val="32"/>
          <w:szCs w:val="32"/>
        </w:rPr>
      </w:pPr>
      <w:r>
        <w:rPr>
          <w:rFonts w:hint="eastAsia" w:ascii="仿宋_GB2312" w:hAnsi="仿宋" w:eastAsia="仿宋_GB2312"/>
          <w:sz w:val="32"/>
          <w:szCs w:val="32"/>
        </w:rPr>
        <w:t>3.按要求完成工疗训练项目，按时服药，如遇身体不适，应立即向工作人员报告并配合接受治疗，如隐瞒不报出现任何事故或意外，后果由学员及其监护人承担。</w:t>
      </w:r>
    </w:p>
    <w:p>
      <w:pPr>
        <w:ind w:firstLine="640" w:firstLineChars="200"/>
        <w:outlineLvl w:val="1"/>
        <w:rPr>
          <w:rFonts w:ascii="仿宋_GB2312" w:hAnsi="仿宋" w:eastAsia="仿宋_GB2312"/>
          <w:sz w:val="32"/>
          <w:szCs w:val="32"/>
        </w:rPr>
      </w:pPr>
      <w:r>
        <w:rPr>
          <w:rFonts w:hint="eastAsia" w:ascii="仿宋_GB2312" w:hAnsi="仿宋" w:eastAsia="仿宋_GB2312"/>
          <w:sz w:val="32"/>
          <w:szCs w:val="32"/>
        </w:rPr>
        <w:t>4.积极参加工疗站组织的文体活动。</w:t>
      </w:r>
    </w:p>
    <w:bookmarkEnd w:id="83"/>
    <w:p>
      <w:pPr>
        <w:ind w:firstLine="482" w:firstLineChars="150"/>
        <w:rPr>
          <w:rFonts w:ascii="仿宋_GB2312" w:hAnsi="仿宋" w:eastAsia="仿宋_GB2312"/>
          <w:b/>
          <w:sz w:val="32"/>
          <w:szCs w:val="32"/>
        </w:rPr>
      </w:pPr>
      <w:bookmarkStart w:id="84" w:name="_Hlk54736610"/>
      <w:r>
        <w:rPr>
          <w:rFonts w:hint="eastAsia" w:ascii="仿宋_GB2312" w:hAnsi="仿宋" w:eastAsia="仿宋_GB2312"/>
          <w:b/>
          <w:sz w:val="32"/>
          <w:szCs w:val="32"/>
        </w:rPr>
        <w:t>第四十四条【</w:t>
      </w:r>
      <w:r>
        <w:rPr>
          <w:rFonts w:hint="eastAsia" w:ascii="仿宋_GB2312" w:hAnsi="仿宋" w:eastAsia="仿宋_GB2312"/>
          <w:b/>
          <w:bCs/>
          <w:sz w:val="32"/>
          <w:szCs w:val="32"/>
        </w:rPr>
        <w:t>跨户籍学员</w:t>
      </w:r>
      <w:r>
        <w:rPr>
          <w:rFonts w:hint="eastAsia" w:ascii="仿宋_GB2312" w:hAnsi="仿宋" w:eastAsia="仿宋_GB2312"/>
          <w:b/>
          <w:sz w:val="32"/>
          <w:szCs w:val="32"/>
        </w:rPr>
        <w:t>】</w:t>
      </w:r>
    </w:p>
    <w:p>
      <w:pPr>
        <w:ind w:firstLine="480" w:firstLineChars="150"/>
        <w:rPr>
          <w:rFonts w:ascii="仿宋_GB2312" w:hAnsi="仿宋" w:eastAsia="仿宋_GB2312"/>
          <w:sz w:val="32"/>
          <w:szCs w:val="32"/>
        </w:rPr>
      </w:pPr>
      <w:r>
        <w:rPr>
          <w:rFonts w:hint="eastAsia" w:ascii="仿宋_GB2312" w:hAnsi="仿宋" w:eastAsia="仿宋_GB2312"/>
          <w:sz w:val="32"/>
          <w:szCs w:val="32"/>
        </w:rPr>
        <w:t xml:space="preserve"> 1.区康园中心及下辖工疗站要做好跨户籍学员入站（学员户籍地与居住地分属不同的地区所发生的跨区入站情况）的管理和服务工作，在所属站学员名额未满或场地等条件允许的情况下，应为符合条件的跨户籍残疾人签订协议（工作表格另附）并办理入站手续，接收地区康园中心、康园工疗站应一视同仁，建立相关档案资料，做好考勤登记、工疗训练、日常管理及数据录入工作。</w:t>
      </w:r>
    </w:p>
    <w:p>
      <w:pPr>
        <w:ind w:firstLine="480" w:firstLineChars="150"/>
        <w:rPr>
          <w:rFonts w:ascii="仿宋_GB2312" w:hAnsi="仿宋" w:eastAsia="仿宋_GB2312"/>
          <w:sz w:val="32"/>
          <w:szCs w:val="32"/>
        </w:rPr>
      </w:pPr>
      <w:r>
        <w:rPr>
          <w:rFonts w:hint="eastAsia" w:ascii="仿宋_GB2312" w:hAnsi="仿宋" w:eastAsia="仿宋_GB2312"/>
          <w:sz w:val="32"/>
          <w:szCs w:val="32"/>
        </w:rPr>
        <w:t xml:space="preserve"> 2.跨户籍学员需填写并向居住地区残联、区康园中心提交《训练申请表》（工作表格另附），申请获批后，由居住地区残联、区康园中心转交相关材料至户籍地的区残联、区康园中心办理跨区训练的相关事宜。跨区训练期限为一年，如需继续跨区训练需办理续期申请手续。</w:t>
      </w:r>
    </w:p>
    <w:bookmarkEnd w:id="84"/>
    <w:p>
      <w:pPr>
        <w:ind w:firstLine="480" w:firstLineChars="150"/>
        <w:rPr>
          <w:rFonts w:ascii="仿宋_GB2312" w:hAnsi="仿宋" w:eastAsia="仿宋_GB2312"/>
          <w:sz w:val="32"/>
          <w:szCs w:val="32"/>
        </w:rPr>
      </w:pPr>
      <w:bookmarkStart w:id="85" w:name="_Hlk54736644"/>
      <w:r>
        <w:rPr>
          <w:rFonts w:hint="eastAsia" w:ascii="仿宋_GB2312" w:hAnsi="仿宋" w:eastAsia="仿宋_GB2312"/>
          <w:sz w:val="32"/>
          <w:szCs w:val="32"/>
        </w:rPr>
        <w:t xml:space="preserve"> 3.跨户籍学员的职业训练津贴由户籍地区残联负责，由承接地康园工疗站统计汇总跨户籍残疾学员的职业康复训练出勤情况，经承接地区康园中心和区残联审核后报送户籍地区残联，由户籍地区残联向承接地康园工疗机构办理直接支付手续。</w:t>
      </w:r>
    </w:p>
    <w:p>
      <w:pPr>
        <w:ind w:firstLine="482" w:firstLineChars="150"/>
        <w:rPr>
          <w:rFonts w:ascii="仿宋_GB2312" w:hAnsi="楷体" w:eastAsia="仿宋_GB2312"/>
          <w:b/>
          <w:bCs/>
          <w:sz w:val="32"/>
          <w:szCs w:val="32"/>
        </w:rPr>
      </w:pPr>
    </w:p>
    <w:p>
      <w:pPr>
        <w:ind w:firstLine="482" w:firstLineChars="150"/>
        <w:jc w:val="center"/>
        <w:rPr>
          <w:rFonts w:ascii="仿宋_GB2312" w:hAnsi="宋体" w:eastAsia="仿宋_GB2312"/>
          <w:b/>
          <w:sz w:val="32"/>
          <w:szCs w:val="32"/>
        </w:rPr>
      </w:pPr>
      <w:r>
        <w:rPr>
          <w:rFonts w:hint="eastAsia" w:ascii="仿宋_GB2312" w:hAnsi="宋体" w:eastAsia="仿宋_GB2312"/>
          <w:b/>
          <w:sz w:val="32"/>
          <w:szCs w:val="32"/>
        </w:rPr>
        <w:t>第八章 安全及设施设备管理</w:t>
      </w:r>
    </w:p>
    <w:p>
      <w:pPr>
        <w:ind w:firstLine="482" w:firstLineChars="150"/>
        <w:rPr>
          <w:rFonts w:ascii="仿宋_GB2312" w:hAnsi="仿宋" w:eastAsia="仿宋_GB2312"/>
          <w:sz w:val="32"/>
          <w:szCs w:val="32"/>
        </w:rPr>
      </w:pPr>
      <w:r>
        <w:rPr>
          <w:rFonts w:hint="eastAsia" w:ascii="仿宋_GB2312" w:hAnsi="仿宋" w:eastAsia="仿宋_GB2312"/>
          <w:b/>
          <w:sz w:val="32"/>
          <w:szCs w:val="32"/>
        </w:rPr>
        <w:t>第四十五条【</w:t>
      </w:r>
      <w:r>
        <w:rPr>
          <w:rFonts w:hint="eastAsia" w:ascii="仿宋_GB2312" w:hAnsi="仿宋" w:eastAsia="仿宋_GB2312"/>
          <w:b/>
          <w:bCs/>
          <w:sz w:val="32"/>
          <w:szCs w:val="32"/>
        </w:rPr>
        <w:t>基本要求</w:t>
      </w:r>
      <w:r>
        <w:rPr>
          <w:rFonts w:hint="eastAsia" w:ascii="仿宋_GB2312" w:hAnsi="仿宋" w:eastAsia="仿宋_GB2312"/>
          <w:b/>
          <w:sz w:val="32"/>
          <w:szCs w:val="32"/>
        </w:rPr>
        <w:t>】</w:t>
      </w:r>
    </w:p>
    <w:p>
      <w:pPr>
        <w:ind w:firstLine="480" w:firstLineChars="150"/>
        <w:rPr>
          <w:rFonts w:ascii="仿宋_GB2312" w:hAnsi="仿宋" w:eastAsia="仿宋_GB2312"/>
          <w:sz w:val="32"/>
          <w:szCs w:val="32"/>
        </w:rPr>
      </w:pPr>
      <w:r>
        <w:rPr>
          <w:rFonts w:hint="eastAsia" w:ascii="仿宋_GB2312" w:hAnsi="仿宋" w:eastAsia="仿宋_GB2312"/>
          <w:sz w:val="32"/>
          <w:szCs w:val="32"/>
        </w:rPr>
        <w:t>区康园中心应高度重视安全保障及设施设备配套管理，统筹建立健全本区各级康园工疗机构安全及设施设备管理制度，并予以公开；应定期巡（检）查街（镇）康园工疗站的安全及设备状况，发现安全隐患应及时采取措施加快解决，防患于未然，并配合下辖工疗站完善必要设备的配套工作，为工作人员及学员提供良好的安全环境与完备的设备支持。</w:t>
      </w:r>
    </w:p>
    <w:bookmarkEnd w:id="85"/>
    <w:p>
      <w:pPr>
        <w:ind w:firstLine="482" w:firstLineChars="150"/>
        <w:rPr>
          <w:rFonts w:ascii="仿宋_GB2312" w:hAnsi="仿宋" w:eastAsia="仿宋_GB2312"/>
          <w:b/>
          <w:sz w:val="32"/>
          <w:szCs w:val="32"/>
        </w:rPr>
      </w:pPr>
      <w:bookmarkStart w:id="86" w:name="_Hlk54430682"/>
      <w:bookmarkStart w:id="87" w:name="_Hlk54736953"/>
      <w:r>
        <w:rPr>
          <w:rFonts w:hint="eastAsia" w:ascii="仿宋_GB2312" w:hAnsi="仿宋" w:eastAsia="仿宋_GB2312"/>
          <w:b/>
          <w:sz w:val="32"/>
          <w:szCs w:val="32"/>
        </w:rPr>
        <w:t xml:space="preserve">第四十六条 </w:t>
      </w:r>
      <w:bookmarkEnd w:id="86"/>
      <w:r>
        <w:rPr>
          <w:rFonts w:hint="eastAsia" w:ascii="仿宋_GB2312" w:hAnsi="仿宋" w:eastAsia="仿宋_GB2312"/>
          <w:b/>
          <w:sz w:val="32"/>
          <w:szCs w:val="32"/>
        </w:rPr>
        <w:t>【</w:t>
      </w:r>
      <w:r>
        <w:rPr>
          <w:rFonts w:hint="eastAsia" w:ascii="仿宋_GB2312" w:hAnsi="仿宋" w:eastAsia="仿宋_GB2312"/>
          <w:b/>
          <w:bCs/>
          <w:sz w:val="32"/>
          <w:szCs w:val="32"/>
        </w:rPr>
        <w:t>消防安全</w:t>
      </w:r>
      <w:r>
        <w:rPr>
          <w:rFonts w:hint="eastAsia" w:ascii="仿宋_GB2312" w:hAnsi="仿宋" w:eastAsia="仿宋_GB2312"/>
          <w:b/>
          <w:sz w:val="32"/>
          <w:szCs w:val="32"/>
        </w:rPr>
        <w:t>】</w:t>
      </w:r>
    </w:p>
    <w:p>
      <w:pPr>
        <w:ind w:firstLine="480" w:firstLineChars="150"/>
        <w:rPr>
          <w:rFonts w:ascii="仿宋_GB2312" w:hAnsi="仿宋" w:eastAsia="仿宋_GB2312"/>
          <w:sz w:val="32"/>
          <w:szCs w:val="32"/>
        </w:rPr>
      </w:pPr>
      <w:r>
        <w:rPr>
          <w:rFonts w:hint="eastAsia" w:ascii="仿宋_GB2312" w:hAnsi="仿宋" w:eastAsia="仿宋_GB2312"/>
          <w:sz w:val="32"/>
          <w:szCs w:val="32"/>
        </w:rPr>
        <w:t>工疗站应建立健全站内消防安全设施设备配套及相应管理规定。按规定配足灭火筒、防护罩、等消防设备，根据条件逐步推广应用独立感烟报警器，定期组织学员进行消防知识培训和消防演练。区康园中心应安排监督人员定期对工疗站进行消防安全巡查并记录。</w:t>
      </w:r>
    </w:p>
    <w:bookmarkEnd w:id="87"/>
    <w:p>
      <w:pPr>
        <w:ind w:firstLine="643" w:firstLineChars="200"/>
        <w:rPr>
          <w:rFonts w:ascii="仿宋_GB2312" w:hAnsi="仿宋" w:eastAsia="仿宋_GB2312"/>
          <w:b/>
          <w:sz w:val="32"/>
          <w:szCs w:val="32"/>
        </w:rPr>
      </w:pPr>
      <w:bookmarkStart w:id="88" w:name="_Hlk54736970"/>
      <w:r>
        <w:rPr>
          <w:rFonts w:hint="eastAsia" w:ascii="仿宋_GB2312" w:hAnsi="仿宋" w:eastAsia="仿宋_GB2312"/>
          <w:b/>
          <w:sz w:val="32"/>
          <w:szCs w:val="32"/>
        </w:rPr>
        <w:t>第四十七条   【</w:t>
      </w:r>
      <w:r>
        <w:rPr>
          <w:rFonts w:hint="eastAsia" w:ascii="仿宋_GB2312" w:hAnsi="仿宋" w:eastAsia="仿宋_GB2312"/>
          <w:b/>
          <w:bCs/>
          <w:sz w:val="32"/>
          <w:szCs w:val="32"/>
        </w:rPr>
        <w:t>疫情防控与卫生安全</w:t>
      </w:r>
      <w:r>
        <w:rPr>
          <w:rFonts w:hint="eastAsia" w:ascii="仿宋_GB2312" w:hAnsi="仿宋" w:eastAsia="仿宋_GB2312"/>
          <w:b/>
          <w:sz w:val="32"/>
          <w:szCs w:val="32"/>
        </w:rPr>
        <w:t>】</w:t>
      </w:r>
    </w:p>
    <w:p>
      <w:pPr>
        <w:ind w:firstLine="640" w:firstLineChars="200"/>
        <w:rPr>
          <w:rFonts w:ascii="仿宋_GB2312" w:hAnsi="仿宋" w:eastAsia="仿宋_GB2312"/>
          <w:bCs/>
          <w:sz w:val="32"/>
          <w:szCs w:val="32"/>
        </w:rPr>
      </w:pPr>
      <w:r>
        <w:rPr>
          <w:rFonts w:hint="eastAsia" w:ascii="仿宋_GB2312" w:hAnsi="仿宋" w:eastAsia="仿宋_GB2312"/>
          <w:bCs/>
          <w:sz w:val="32"/>
          <w:szCs w:val="32"/>
        </w:rPr>
        <w:t>1.工疗站应建立健全站内防疫（传染病防治）安全设施设备配套及相应管理规定。各各级康园工疗机构需配备好相关药品及各类防护用品和消毒物资、检测设备，如口罩、防护服、消毒工具、体温监测工具等，并制定相应人员登记、隔离观察场所设置、站内卫生管理等规定。</w:t>
      </w:r>
    </w:p>
    <w:p>
      <w:pPr>
        <w:ind w:firstLine="640" w:firstLineChars="200"/>
        <w:rPr>
          <w:rFonts w:ascii="仿宋_GB2312" w:hAnsi="仿宋" w:eastAsia="仿宋_GB2312"/>
          <w:bCs/>
          <w:sz w:val="32"/>
          <w:szCs w:val="32"/>
        </w:rPr>
      </w:pPr>
      <w:r>
        <w:rPr>
          <w:rFonts w:hint="eastAsia" w:ascii="仿宋_GB2312" w:hAnsi="仿宋" w:eastAsia="仿宋_GB2312"/>
          <w:bCs/>
          <w:sz w:val="32"/>
          <w:szCs w:val="32"/>
        </w:rPr>
        <w:t>2.区康园中心应安排监督人员定期对工疗站进行防疫工作巡查并记录。组织工作人员每年进行健康检查，工作人员在取得有效健康合格证明后方可上岗，定期组织工作人员学习相关卫生法律知识和公共场所卫生知识。</w:t>
      </w:r>
    </w:p>
    <w:p>
      <w:pPr>
        <w:ind w:firstLine="640" w:firstLineChars="200"/>
        <w:rPr>
          <w:rFonts w:ascii="仿宋_GB2312" w:hAnsi="仿宋" w:eastAsia="仿宋_GB2312"/>
          <w:bCs/>
          <w:sz w:val="32"/>
          <w:szCs w:val="32"/>
        </w:rPr>
      </w:pPr>
      <w:r>
        <w:rPr>
          <w:rFonts w:hint="eastAsia" w:ascii="仿宋_GB2312" w:hAnsi="仿宋" w:eastAsia="仿宋_GB2312"/>
          <w:bCs/>
          <w:sz w:val="32"/>
          <w:szCs w:val="32"/>
        </w:rPr>
        <w:t>3.应保障餐饮和生活饮用水安全、卫生，并在餐厅入口配备含酒精成分的洗手液。</w:t>
      </w:r>
    </w:p>
    <w:p>
      <w:pPr>
        <w:ind w:firstLine="640" w:firstLineChars="200"/>
        <w:rPr>
          <w:rFonts w:ascii="仿宋_GB2312" w:hAnsi="仿宋" w:eastAsia="仿宋_GB2312"/>
          <w:bCs/>
          <w:sz w:val="32"/>
          <w:szCs w:val="32"/>
        </w:rPr>
      </w:pPr>
      <w:r>
        <w:rPr>
          <w:rFonts w:hint="eastAsia" w:ascii="仿宋_GB2312" w:hAnsi="仿宋" w:eastAsia="仿宋_GB2312"/>
          <w:bCs/>
          <w:sz w:val="32"/>
          <w:szCs w:val="32"/>
        </w:rPr>
        <w:t>4.应定期打扫办公区域、活动室、餐厅、卫生间、垃圾投放处等，</w:t>
      </w:r>
    </w:p>
    <w:p>
      <w:pPr>
        <w:ind w:firstLine="640" w:firstLineChars="200"/>
        <w:rPr>
          <w:rFonts w:ascii="仿宋_GB2312" w:hAnsi="仿宋" w:eastAsia="仿宋_GB2312"/>
          <w:bCs/>
          <w:sz w:val="32"/>
          <w:szCs w:val="32"/>
        </w:rPr>
      </w:pPr>
      <w:r>
        <w:rPr>
          <w:rFonts w:hint="eastAsia" w:ascii="仿宋_GB2312" w:hAnsi="仿宋" w:eastAsia="仿宋_GB2312"/>
          <w:bCs/>
          <w:sz w:val="32"/>
          <w:szCs w:val="32"/>
        </w:rPr>
        <w:t>5.应定期对生活用具、娱乐设施、运动辅助器等设施设备进行清洗和消毒。</w:t>
      </w:r>
    </w:p>
    <w:p>
      <w:pPr>
        <w:ind w:firstLine="640" w:firstLineChars="200"/>
        <w:rPr>
          <w:rFonts w:ascii="仿宋_GB2312" w:hAnsi="仿宋" w:eastAsia="仿宋_GB2312"/>
          <w:bCs/>
          <w:sz w:val="32"/>
          <w:szCs w:val="32"/>
        </w:rPr>
      </w:pPr>
      <w:r>
        <w:rPr>
          <w:rFonts w:hint="eastAsia" w:ascii="仿宋_GB2312" w:hAnsi="仿宋" w:eastAsia="仿宋_GB2312"/>
          <w:bCs/>
          <w:sz w:val="32"/>
          <w:szCs w:val="32"/>
        </w:rPr>
        <w:t>6.要求学员每年提供有效的健康合格证明，方可接受区康园中心服务。发现有患传染病迹象的学员时，应及时通知家属或监护人，并采取有效的隔离、消毒和转介治疗服务措施。</w:t>
      </w:r>
    </w:p>
    <w:bookmarkEnd w:id="88"/>
    <w:p>
      <w:pPr>
        <w:ind w:firstLine="643" w:firstLineChars="200"/>
        <w:rPr>
          <w:rFonts w:ascii="仿宋_GB2312" w:hAnsi="仿宋" w:eastAsia="仿宋_GB2312"/>
          <w:b/>
          <w:sz w:val="32"/>
          <w:szCs w:val="32"/>
        </w:rPr>
      </w:pPr>
      <w:bookmarkStart w:id="89" w:name="_Hlk54736984"/>
      <w:r>
        <w:rPr>
          <w:rFonts w:hint="eastAsia" w:ascii="仿宋_GB2312" w:hAnsi="仿宋" w:eastAsia="仿宋_GB2312"/>
          <w:b/>
          <w:sz w:val="32"/>
          <w:szCs w:val="32"/>
        </w:rPr>
        <w:t>第四十八条   【</w:t>
      </w:r>
      <w:r>
        <w:rPr>
          <w:rFonts w:hint="eastAsia" w:ascii="仿宋_GB2312" w:hAnsi="仿宋" w:eastAsia="仿宋_GB2312"/>
          <w:b/>
          <w:bCs/>
          <w:sz w:val="32"/>
          <w:szCs w:val="32"/>
        </w:rPr>
        <w:t>药品安全</w:t>
      </w:r>
      <w:r>
        <w:rPr>
          <w:rFonts w:hint="eastAsia" w:ascii="仿宋_GB2312" w:hAnsi="仿宋" w:eastAsia="仿宋_GB2312"/>
          <w:b/>
          <w:sz w:val="32"/>
          <w:szCs w:val="32"/>
        </w:rPr>
        <w:t>】</w:t>
      </w:r>
    </w:p>
    <w:p>
      <w:pPr>
        <w:ind w:firstLine="640" w:firstLineChars="200"/>
        <w:rPr>
          <w:rFonts w:ascii="仿宋_GB2312" w:hAnsi="仿宋" w:eastAsia="仿宋_GB2312"/>
          <w:bCs/>
          <w:color w:val="000000" w:themeColor="text1"/>
          <w:sz w:val="32"/>
          <w:szCs w:val="32"/>
        </w:rPr>
      </w:pPr>
      <w:r>
        <w:rPr>
          <w:rFonts w:hint="eastAsia" w:ascii="仿宋_GB2312" w:hAnsi="仿宋" w:eastAsia="仿宋_GB2312"/>
          <w:bCs/>
          <w:color w:val="000000" w:themeColor="text1"/>
          <w:sz w:val="32"/>
          <w:szCs w:val="32"/>
        </w:rPr>
        <w:t>区康园中心应对所有服药的学员进行药物管理，实行药物三级管理办法，鼓励学员自主管理，家属和区康园中心共同监督；提醒有需要服药的学员按时按量服用药物，必要时协助服药，用药后注意有无不适反应。</w:t>
      </w:r>
    </w:p>
    <w:p>
      <w:pPr>
        <w:ind w:firstLine="643" w:firstLineChars="200"/>
        <w:rPr>
          <w:rFonts w:ascii="仿宋_GB2312" w:hAnsi="仿宋" w:eastAsia="仿宋_GB2312"/>
          <w:b/>
          <w:sz w:val="32"/>
          <w:szCs w:val="32"/>
        </w:rPr>
      </w:pPr>
      <w:r>
        <w:rPr>
          <w:rFonts w:hint="eastAsia" w:ascii="仿宋_GB2312" w:hAnsi="仿宋" w:eastAsia="仿宋_GB2312"/>
          <w:b/>
          <w:sz w:val="32"/>
          <w:szCs w:val="32"/>
        </w:rPr>
        <w:t>第四十九条   【</w:t>
      </w:r>
      <w:r>
        <w:rPr>
          <w:rFonts w:hint="eastAsia" w:ascii="仿宋_GB2312" w:hAnsi="仿宋" w:eastAsia="仿宋_GB2312"/>
          <w:b/>
          <w:bCs/>
          <w:sz w:val="32"/>
          <w:szCs w:val="32"/>
        </w:rPr>
        <w:t>用电安全</w:t>
      </w:r>
      <w:r>
        <w:rPr>
          <w:rFonts w:hint="eastAsia" w:ascii="仿宋_GB2312" w:hAnsi="仿宋" w:eastAsia="仿宋_GB2312"/>
          <w:b/>
          <w:sz w:val="32"/>
          <w:szCs w:val="32"/>
        </w:rPr>
        <w:t>】</w:t>
      </w:r>
    </w:p>
    <w:p>
      <w:pPr>
        <w:ind w:firstLine="640" w:firstLineChars="200"/>
        <w:rPr>
          <w:rFonts w:ascii="仿宋_GB2312" w:hAnsi="仿宋" w:eastAsia="仿宋_GB2312"/>
          <w:sz w:val="32"/>
          <w:szCs w:val="32"/>
        </w:rPr>
      </w:pPr>
      <w:r>
        <w:rPr>
          <w:rFonts w:hint="eastAsia" w:ascii="仿宋_GB2312" w:hAnsi="仿宋" w:eastAsia="仿宋_GB2312"/>
          <w:bCs/>
          <w:sz w:val="32"/>
          <w:szCs w:val="32"/>
        </w:rPr>
        <w:t>工疗站应建立健全站内</w:t>
      </w:r>
      <w:bookmarkStart w:id="90" w:name="_Hlk54465477"/>
      <w:r>
        <w:rPr>
          <w:rFonts w:hint="eastAsia" w:ascii="仿宋_GB2312" w:hAnsi="仿宋" w:eastAsia="仿宋_GB2312"/>
          <w:bCs/>
          <w:sz w:val="32"/>
          <w:szCs w:val="32"/>
        </w:rPr>
        <w:t>用电设施设备配套及相关用电安全管理规定</w:t>
      </w:r>
      <w:bookmarkEnd w:id="90"/>
      <w:r>
        <w:rPr>
          <w:rFonts w:hint="eastAsia" w:ascii="仿宋_GB2312" w:hAnsi="仿宋" w:eastAsia="仿宋_GB2312"/>
          <w:bCs/>
          <w:sz w:val="32"/>
          <w:szCs w:val="32"/>
        </w:rPr>
        <w:t>。</w:t>
      </w:r>
      <w:r>
        <w:rPr>
          <w:rFonts w:hint="eastAsia" w:ascii="仿宋_GB2312" w:hAnsi="仿宋" w:eastAsia="仿宋_GB2312"/>
          <w:sz w:val="32"/>
          <w:szCs w:val="32"/>
        </w:rPr>
        <w:t>区康园中心应安排监督人员定期对工疗站的用电设施、设备进行安全检查，督促工疗站及时维修更换存在安全隐患的设施、设备，并做好安全检查记录。</w:t>
      </w:r>
    </w:p>
    <w:bookmarkEnd w:id="89"/>
    <w:p>
      <w:pPr>
        <w:ind w:firstLine="643" w:firstLineChars="200"/>
        <w:rPr>
          <w:rFonts w:ascii="仿宋_GB2312" w:hAnsi="仿宋" w:eastAsia="仿宋_GB2312"/>
          <w:b/>
          <w:sz w:val="32"/>
          <w:szCs w:val="32"/>
        </w:rPr>
      </w:pPr>
      <w:bookmarkStart w:id="91" w:name="_Hlk54430722"/>
      <w:bookmarkStart w:id="92" w:name="_Hlk54737004"/>
      <w:r>
        <w:rPr>
          <w:rFonts w:hint="eastAsia" w:ascii="仿宋_GB2312" w:hAnsi="仿宋" w:eastAsia="仿宋_GB2312"/>
          <w:b/>
          <w:sz w:val="32"/>
          <w:szCs w:val="32"/>
        </w:rPr>
        <w:t>第五十条</w:t>
      </w:r>
      <w:bookmarkEnd w:id="91"/>
      <w:r>
        <w:rPr>
          <w:rFonts w:hint="eastAsia" w:ascii="仿宋_GB2312" w:hAnsi="仿宋" w:eastAsia="仿宋_GB2312"/>
          <w:b/>
          <w:sz w:val="32"/>
          <w:szCs w:val="32"/>
        </w:rPr>
        <w:t>【</w:t>
      </w:r>
      <w:r>
        <w:rPr>
          <w:rFonts w:hint="eastAsia" w:ascii="仿宋_GB2312" w:hAnsi="仿宋" w:eastAsia="仿宋_GB2312"/>
          <w:b/>
          <w:bCs/>
          <w:sz w:val="32"/>
          <w:szCs w:val="32"/>
        </w:rPr>
        <w:t>通风温控</w:t>
      </w:r>
      <w:r>
        <w:rPr>
          <w:rFonts w:hint="eastAsia" w:ascii="仿宋_GB2312" w:hAnsi="仿宋" w:eastAsia="仿宋_GB2312"/>
          <w:b/>
          <w:sz w:val="32"/>
          <w:szCs w:val="32"/>
        </w:rPr>
        <w:t>】</w:t>
      </w:r>
    </w:p>
    <w:p>
      <w:pPr>
        <w:ind w:firstLine="640" w:firstLineChars="200"/>
        <w:rPr>
          <w:rFonts w:ascii="仿宋_GB2312" w:hAnsi="仿宋" w:eastAsia="仿宋_GB2312"/>
          <w:bCs/>
          <w:sz w:val="32"/>
          <w:szCs w:val="32"/>
        </w:rPr>
      </w:pPr>
      <w:r>
        <w:rPr>
          <w:rFonts w:hint="eastAsia" w:ascii="仿宋_GB2312" w:hAnsi="仿宋" w:eastAsia="仿宋_GB2312"/>
          <w:sz w:val="32"/>
          <w:szCs w:val="32"/>
        </w:rPr>
        <w:t>工疗站应建立健全站内生活训练场地通风设施和排气扇、空调设备的配套及保障室内良好通风环境与温度环境的工作，</w:t>
      </w:r>
      <w:r>
        <w:rPr>
          <w:rFonts w:hint="eastAsia" w:ascii="仿宋_GB2312" w:hAnsi="仿宋" w:eastAsia="仿宋_GB2312"/>
          <w:bCs/>
          <w:sz w:val="32"/>
          <w:szCs w:val="32"/>
        </w:rPr>
        <w:t>保持空气流通，服务场所干净、整洁、无异味。</w:t>
      </w:r>
    </w:p>
    <w:bookmarkEnd w:id="92"/>
    <w:p>
      <w:pPr>
        <w:ind w:firstLine="643" w:firstLineChars="200"/>
        <w:rPr>
          <w:rFonts w:ascii="仿宋_GB2312" w:hAnsi="仿宋" w:eastAsia="仿宋_GB2312"/>
          <w:b/>
          <w:sz w:val="32"/>
          <w:szCs w:val="32"/>
        </w:rPr>
      </w:pPr>
      <w:r>
        <w:rPr>
          <w:rFonts w:hint="eastAsia" w:ascii="仿宋_GB2312" w:hAnsi="仿宋" w:eastAsia="仿宋_GB2312"/>
          <w:b/>
          <w:sz w:val="32"/>
          <w:szCs w:val="32"/>
        </w:rPr>
        <w:t>第五十一条【</w:t>
      </w:r>
      <w:r>
        <w:rPr>
          <w:rFonts w:hint="eastAsia" w:ascii="仿宋_GB2312" w:hAnsi="仿宋" w:eastAsia="仿宋_GB2312"/>
          <w:b/>
          <w:bCs/>
          <w:sz w:val="32"/>
          <w:szCs w:val="32"/>
        </w:rPr>
        <w:t>其他设施设备及安全管理</w:t>
      </w:r>
      <w:r>
        <w:rPr>
          <w:rFonts w:hint="eastAsia" w:ascii="仿宋_GB2312" w:hAnsi="仿宋" w:eastAsia="仿宋_GB2312"/>
          <w:b/>
          <w:sz w:val="32"/>
          <w:szCs w:val="32"/>
        </w:rPr>
        <w:t>】</w:t>
      </w:r>
    </w:p>
    <w:p>
      <w:pPr>
        <w:ind w:firstLine="640" w:firstLineChars="200"/>
        <w:rPr>
          <w:rFonts w:ascii="仿宋_GB2312" w:hAnsi="仿宋" w:eastAsia="仿宋_GB2312"/>
          <w:bCs/>
          <w:sz w:val="32"/>
          <w:szCs w:val="32"/>
        </w:rPr>
      </w:pPr>
      <w:r>
        <w:rPr>
          <w:rFonts w:hint="eastAsia" w:ascii="仿宋_GB2312" w:hAnsi="仿宋" w:eastAsia="仿宋_GB2312"/>
          <w:sz w:val="32"/>
          <w:szCs w:val="32"/>
        </w:rPr>
        <w:t>1.工疗站应建立健全照料、护理、膳食、安全监控、无障碍设施、工疗加工特殊设备等其他方面设施设备的配置及相应安全管理制度和工作责任机制。</w:t>
      </w:r>
      <w:r>
        <w:rPr>
          <w:rFonts w:hint="eastAsia" w:ascii="仿宋_GB2312" w:hAnsi="仿宋" w:eastAsia="仿宋_GB2312"/>
          <w:bCs/>
          <w:sz w:val="32"/>
          <w:szCs w:val="32"/>
        </w:rPr>
        <w:t>区康园中心应安排监督人员定期对工疗站进行巡查并记录。</w:t>
      </w:r>
    </w:p>
    <w:p>
      <w:pPr>
        <w:ind w:firstLine="640" w:firstLineChars="200"/>
        <w:rPr>
          <w:rFonts w:ascii="仿宋_GB2312" w:hAnsi="仿宋" w:eastAsia="仿宋_GB2312"/>
          <w:bCs/>
          <w:sz w:val="32"/>
          <w:szCs w:val="32"/>
        </w:rPr>
      </w:pPr>
      <w:r>
        <w:rPr>
          <w:rFonts w:hint="eastAsia" w:ascii="仿宋_GB2312" w:hAnsi="仿宋" w:eastAsia="仿宋_GB2312"/>
          <w:bCs/>
          <w:sz w:val="32"/>
          <w:szCs w:val="32"/>
        </w:rPr>
        <w:t>2．应避免将危险物品（电源、热源、水池、刀具、绳索、化学品、药品等）放置在学员可 接触的地方，必要时安装安全防护设施，并设置警示标识。</w:t>
      </w:r>
    </w:p>
    <w:p>
      <w:pPr>
        <w:ind w:firstLine="640" w:firstLineChars="200"/>
        <w:rPr>
          <w:rFonts w:ascii="仿宋_GB2312" w:hAnsi="仿宋" w:eastAsia="仿宋_GB2312"/>
          <w:bCs/>
          <w:sz w:val="32"/>
          <w:szCs w:val="32"/>
        </w:rPr>
      </w:pPr>
      <w:r>
        <w:rPr>
          <w:rFonts w:hint="eastAsia" w:ascii="仿宋_GB2312" w:hAnsi="仿宋" w:eastAsia="仿宋_GB2312"/>
          <w:bCs/>
          <w:sz w:val="32"/>
          <w:szCs w:val="32"/>
        </w:rPr>
        <w:t>3.应在过道、洗手间、门窗、栏杆、扶手、围墙等地方安装防坠、防滑、防摔等安全防护设施。</w:t>
      </w:r>
    </w:p>
    <w:p>
      <w:pPr>
        <w:ind w:firstLine="640" w:firstLineChars="200"/>
        <w:rPr>
          <w:rFonts w:ascii="仿宋_GB2312" w:hAnsi="仿宋" w:eastAsia="仿宋_GB2312"/>
          <w:bCs/>
          <w:sz w:val="32"/>
          <w:szCs w:val="32"/>
        </w:rPr>
      </w:pPr>
      <w:r>
        <w:rPr>
          <w:rFonts w:hint="eastAsia" w:ascii="仿宋_GB2312" w:hAnsi="仿宋" w:eastAsia="仿宋_GB2312"/>
          <w:bCs/>
          <w:sz w:val="32"/>
          <w:szCs w:val="32"/>
        </w:rPr>
        <w:t>4．应将康复器具、消防设施、安全防护设施等的使用安全注意事项设置在活动区显著位置，并定期对其进行检查、维护，并做好检查记录。保证消防设施和安全防护设施的设备完好率达到 100%， 并设置警示标识。</w:t>
      </w:r>
    </w:p>
    <w:p>
      <w:pPr>
        <w:ind w:firstLine="643" w:firstLineChars="200"/>
        <w:rPr>
          <w:rFonts w:ascii="仿宋_GB2312" w:hAnsi="仿宋" w:eastAsia="仿宋_GB2312"/>
          <w:b/>
          <w:sz w:val="32"/>
          <w:szCs w:val="32"/>
        </w:rPr>
      </w:pPr>
      <w:bookmarkStart w:id="93" w:name="_Hlk54737035"/>
      <w:r>
        <w:rPr>
          <w:rFonts w:hint="eastAsia" w:ascii="仿宋_GB2312" w:hAnsi="仿宋" w:eastAsia="仿宋_GB2312"/>
          <w:b/>
          <w:sz w:val="32"/>
          <w:szCs w:val="32"/>
        </w:rPr>
        <w:t>第五十二条  【</w:t>
      </w:r>
      <w:r>
        <w:rPr>
          <w:rFonts w:hint="eastAsia" w:ascii="仿宋_GB2312" w:hAnsi="仿宋" w:eastAsia="仿宋_GB2312"/>
          <w:b/>
          <w:bCs/>
          <w:sz w:val="32"/>
          <w:szCs w:val="32"/>
        </w:rPr>
        <w:t>维护保养与台账登记</w:t>
      </w:r>
      <w:r>
        <w:rPr>
          <w:rFonts w:hint="eastAsia" w:ascii="仿宋_GB2312" w:hAnsi="仿宋" w:eastAsia="仿宋_GB2312"/>
          <w:b/>
          <w:sz w:val="32"/>
          <w:szCs w:val="32"/>
        </w:rPr>
        <w:t>】</w:t>
      </w:r>
    </w:p>
    <w:p>
      <w:pPr>
        <w:ind w:firstLine="640" w:firstLineChars="200"/>
        <w:rPr>
          <w:rFonts w:ascii="仿宋_GB2312" w:hAnsi="仿宋" w:eastAsia="仿宋_GB2312"/>
          <w:sz w:val="32"/>
          <w:szCs w:val="32"/>
        </w:rPr>
      </w:pPr>
      <w:r>
        <w:rPr>
          <w:rFonts w:hint="eastAsia" w:ascii="仿宋_GB2312" w:hAnsi="仿宋" w:eastAsia="仿宋_GB2312"/>
          <w:sz w:val="32"/>
          <w:szCs w:val="32"/>
        </w:rPr>
        <w:t>工疗站要做好对上述站内设施设备的日常维护和保养，满足学员日常开展活动的需求。并建立健全上述设施设备的数量及维修质检情况台账（电子档案），做好站内设施设备的登记（工作表格另附）。</w:t>
      </w:r>
    </w:p>
    <w:bookmarkEnd w:id="93"/>
    <w:p>
      <w:pPr>
        <w:ind w:firstLine="643" w:firstLineChars="200"/>
        <w:rPr>
          <w:rFonts w:ascii="仿宋_GB2312" w:hAnsi="仿宋" w:eastAsia="仿宋_GB2312"/>
          <w:b/>
          <w:sz w:val="32"/>
          <w:szCs w:val="32"/>
        </w:rPr>
      </w:pPr>
      <w:bookmarkStart w:id="94" w:name="_Hlk54737101"/>
      <w:r>
        <w:rPr>
          <w:rFonts w:hint="eastAsia" w:ascii="仿宋_GB2312" w:hAnsi="仿宋" w:eastAsia="仿宋_GB2312"/>
          <w:b/>
          <w:sz w:val="32"/>
          <w:szCs w:val="32"/>
        </w:rPr>
        <w:t>第五十三条  【</w:t>
      </w:r>
      <w:r>
        <w:rPr>
          <w:rFonts w:hint="eastAsia" w:ascii="仿宋_GB2312" w:hAnsi="仿宋" w:eastAsia="仿宋_GB2312"/>
          <w:b/>
          <w:bCs/>
          <w:sz w:val="32"/>
          <w:szCs w:val="32"/>
        </w:rPr>
        <w:t>财产安全</w:t>
      </w:r>
      <w:r>
        <w:rPr>
          <w:rFonts w:hint="eastAsia" w:ascii="仿宋_GB2312" w:hAnsi="仿宋" w:eastAsia="仿宋_GB2312"/>
          <w:b/>
          <w:sz w:val="32"/>
          <w:szCs w:val="32"/>
        </w:rPr>
        <w:t>】</w:t>
      </w:r>
    </w:p>
    <w:p>
      <w:pPr>
        <w:ind w:firstLine="640" w:firstLineChars="200"/>
        <w:rPr>
          <w:rFonts w:ascii="仿宋_GB2312" w:hAnsi="仿宋" w:eastAsia="仿宋_GB2312"/>
          <w:sz w:val="32"/>
          <w:szCs w:val="32"/>
        </w:rPr>
      </w:pPr>
      <w:r>
        <w:rPr>
          <w:rFonts w:hint="eastAsia" w:ascii="仿宋_GB2312" w:hAnsi="仿宋" w:eastAsia="仿宋_GB2312"/>
          <w:sz w:val="32"/>
          <w:szCs w:val="32"/>
        </w:rPr>
        <w:t>应对工作人员及学员进行财产安全教育，对于学员获得补贴、津贴等情况时，及时与本人、家属或监护人联系，确定财产保存方式，保证学员财产安全，避免发生偷盗或遗失现象。对各级康园工疗机构的财产和设施设备，应当根据台账登记情况定期检查，防止灭失。</w:t>
      </w:r>
    </w:p>
    <w:p>
      <w:pPr>
        <w:ind w:firstLine="643" w:firstLineChars="200"/>
        <w:rPr>
          <w:rFonts w:ascii="仿宋_GB2312" w:hAnsi="仿宋" w:eastAsia="仿宋_GB2312"/>
          <w:b/>
          <w:sz w:val="32"/>
          <w:szCs w:val="32"/>
        </w:rPr>
      </w:pPr>
      <w:r>
        <w:rPr>
          <w:rFonts w:hint="eastAsia" w:ascii="仿宋_GB2312" w:hAnsi="仿宋" w:eastAsia="仿宋_GB2312"/>
          <w:b/>
          <w:sz w:val="32"/>
          <w:szCs w:val="32"/>
        </w:rPr>
        <w:t>第五十四条  【</w:t>
      </w:r>
      <w:r>
        <w:rPr>
          <w:rFonts w:hint="eastAsia" w:ascii="仿宋_GB2312" w:hAnsi="仿宋" w:eastAsia="仿宋_GB2312"/>
          <w:b/>
          <w:bCs/>
          <w:sz w:val="32"/>
          <w:szCs w:val="32"/>
        </w:rPr>
        <w:t>信息安全</w:t>
      </w:r>
      <w:r>
        <w:rPr>
          <w:rFonts w:hint="eastAsia" w:ascii="仿宋_GB2312" w:hAnsi="仿宋" w:eastAsia="仿宋_GB2312"/>
          <w:b/>
          <w:sz w:val="32"/>
          <w:szCs w:val="32"/>
        </w:rPr>
        <w:t>】</w:t>
      </w:r>
    </w:p>
    <w:p>
      <w:pPr>
        <w:ind w:firstLine="640" w:firstLineChars="200"/>
        <w:rPr>
          <w:rFonts w:ascii="仿宋_GB2312" w:hAnsi="仿宋" w:eastAsia="仿宋_GB2312"/>
          <w:sz w:val="32"/>
          <w:szCs w:val="32"/>
        </w:rPr>
      </w:pPr>
      <w:r>
        <w:rPr>
          <w:rFonts w:hint="eastAsia" w:ascii="仿宋_GB2312" w:hAnsi="仿宋" w:eastAsia="仿宋_GB2312"/>
          <w:sz w:val="32"/>
          <w:szCs w:val="32"/>
        </w:rPr>
        <w:t>1.应组织工作人员签订保密协议，要求不得泄露、出售或非法向他人提供学员的个人隐私，最大限度保障学员的权益。</w:t>
      </w:r>
    </w:p>
    <w:p>
      <w:pPr>
        <w:ind w:firstLine="640" w:firstLineChars="200"/>
        <w:rPr>
          <w:rFonts w:ascii="仿宋_GB2312" w:hAnsi="仿宋" w:eastAsia="仿宋_GB2312"/>
          <w:sz w:val="32"/>
          <w:szCs w:val="32"/>
        </w:rPr>
      </w:pPr>
      <w:r>
        <w:rPr>
          <w:rFonts w:hint="eastAsia" w:ascii="仿宋_GB2312" w:hAnsi="仿宋" w:eastAsia="仿宋_GB2312"/>
          <w:sz w:val="32"/>
          <w:szCs w:val="32"/>
        </w:rPr>
        <w:t>2.因对外宣传、来访介绍等活动需要使用反映学员个人正面图像影像等资料的，应进行技术处理后或征得学员本人或家属、监护人同意并签署知情书后方可使用。</w:t>
      </w:r>
    </w:p>
    <w:p>
      <w:pPr>
        <w:ind w:firstLine="640" w:firstLineChars="200"/>
        <w:rPr>
          <w:rFonts w:ascii="仿宋_GB2312" w:hAnsi="仿宋" w:eastAsia="仿宋_GB2312"/>
          <w:sz w:val="32"/>
          <w:szCs w:val="32"/>
        </w:rPr>
      </w:pPr>
      <w:r>
        <w:rPr>
          <w:rFonts w:hint="eastAsia" w:ascii="仿宋_GB2312" w:hAnsi="仿宋" w:eastAsia="仿宋_GB2312"/>
          <w:sz w:val="32"/>
          <w:szCs w:val="32"/>
        </w:rPr>
        <w:t>3.开展来访参观、义工活动、新闻采访等活动时，应公告来访须知，通知相关人员尊重学员私隐权，未经学员本人或家属、监护人同意或技术处理，不得将学员照片、视频在社交媒体、 电视、网络等媒体公开。</w:t>
      </w:r>
    </w:p>
    <w:p>
      <w:pPr>
        <w:ind w:firstLine="640" w:firstLineChars="200"/>
        <w:rPr>
          <w:rFonts w:ascii="仿宋_GB2312" w:hAnsi="仿宋" w:eastAsia="仿宋_GB2312"/>
          <w:sz w:val="32"/>
          <w:szCs w:val="32"/>
        </w:rPr>
      </w:pPr>
      <w:r>
        <w:rPr>
          <w:rFonts w:hint="eastAsia" w:ascii="仿宋_GB2312" w:hAnsi="仿宋" w:eastAsia="仿宋_GB2312"/>
          <w:sz w:val="32"/>
          <w:szCs w:val="32"/>
        </w:rPr>
        <w:t>4.定期或及时向行政业务主管部门上报区康园中心相关信息，在对外报送前须经区康园中心负责人审核同意。凡属涉密信息，应执行保密工作规定，由区康园中心负责人管理。</w:t>
      </w:r>
    </w:p>
    <w:p>
      <w:pPr>
        <w:ind w:firstLine="3213" w:firstLineChars="1000"/>
        <w:jc w:val="left"/>
        <w:rPr>
          <w:rFonts w:ascii="仿宋_GB2312" w:hAnsi="黑体" w:eastAsia="仿宋_GB2312"/>
          <w:b/>
          <w:sz w:val="32"/>
          <w:szCs w:val="32"/>
        </w:rPr>
      </w:pPr>
    </w:p>
    <w:p>
      <w:pPr>
        <w:ind w:firstLine="2570" w:firstLineChars="800"/>
        <w:jc w:val="left"/>
        <w:rPr>
          <w:rFonts w:ascii="仿宋_GB2312" w:hAnsi="宋体" w:eastAsia="仿宋_GB2312"/>
          <w:b/>
          <w:sz w:val="32"/>
          <w:szCs w:val="32"/>
        </w:rPr>
      </w:pPr>
      <w:r>
        <w:rPr>
          <w:rFonts w:hint="eastAsia" w:ascii="仿宋_GB2312" w:hAnsi="宋体" w:eastAsia="仿宋_GB2312"/>
          <w:b/>
          <w:sz w:val="32"/>
          <w:szCs w:val="32"/>
        </w:rPr>
        <w:t>第九章 经费及财务管理</w:t>
      </w:r>
    </w:p>
    <w:p>
      <w:pPr>
        <w:ind w:firstLine="630" w:firstLineChars="196"/>
        <w:rPr>
          <w:rFonts w:ascii="仿宋_GB2312" w:hAnsi="仿宋" w:eastAsia="仿宋_GB2312"/>
          <w:b/>
          <w:sz w:val="32"/>
          <w:szCs w:val="32"/>
        </w:rPr>
      </w:pPr>
      <w:r>
        <w:rPr>
          <w:rFonts w:hint="eastAsia" w:ascii="仿宋_GB2312" w:hAnsi="仿宋" w:eastAsia="仿宋_GB2312"/>
          <w:b/>
          <w:sz w:val="32"/>
          <w:szCs w:val="32"/>
        </w:rPr>
        <w:t>第五十五条  【经费来源及总体要求】</w:t>
      </w:r>
    </w:p>
    <w:p>
      <w:pPr>
        <w:ind w:firstLine="627" w:firstLineChars="196"/>
        <w:rPr>
          <w:rFonts w:ascii="仿宋_GB2312" w:hAnsi="仿宋" w:eastAsia="仿宋_GB2312"/>
          <w:bCs/>
          <w:sz w:val="32"/>
          <w:szCs w:val="32"/>
        </w:rPr>
      </w:pPr>
      <w:r>
        <w:rPr>
          <w:rFonts w:hint="eastAsia" w:ascii="仿宋_GB2312" w:hAnsi="仿宋" w:eastAsia="仿宋_GB2312"/>
          <w:bCs/>
          <w:sz w:val="32"/>
          <w:szCs w:val="32"/>
        </w:rPr>
        <w:t>康园工疗机构应具备稳定的运营资金保障，建立完善的经费及财物管理运行制度。康园工疗机构项目运营经费应纳入财政预算，通过市、区等各级财政补助、政府购买服务、社会资金筹（募）集、开发就业项目等途径获取经费来源，保障机构正常运转。相关经费标准根据《广州市康园工疗机构及工疗人员资助标准实施办法》</w:t>
      </w:r>
      <w:bookmarkEnd w:id="94"/>
      <w:bookmarkStart w:id="95" w:name="_Hlk54737201"/>
      <w:r>
        <w:rPr>
          <w:rFonts w:hint="eastAsia" w:ascii="仿宋_GB2312" w:hAnsi="仿宋" w:eastAsia="仿宋_GB2312"/>
          <w:bCs/>
          <w:sz w:val="32"/>
          <w:szCs w:val="32"/>
        </w:rPr>
        <w:t>（穗残联规字〔2019〕3号）执行。</w:t>
      </w:r>
    </w:p>
    <w:p>
      <w:pPr>
        <w:ind w:firstLine="630" w:firstLineChars="196"/>
        <w:rPr>
          <w:rFonts w:ascii="仿宋_GB2312" w:hAnsi="仿宋" w:eastAsia="仿宋_GB2312"/>
          <w:b/>
          <w:sz w:val="32"/>
          <w:szCs w:val="32"/>
        </w:rPr>
      </w:pPr>
      <w:r>
        <w:rPr>
          <w:rFonts w:hint="eastAsia" w:ascii="仿宋_GB2312" w:hAnsi="仿宋" w:eastAsia="仿宋_GB2312"/>
          <w:b/>
          <w:sz w:val="32"/>
          <w:szCs w:val="32"/>
        </w:rPr>
        <w:t>第五十六条  【经费使用与审批制度】</w:t>
      </w:r>
    </w:p>
    <w:p>
      <w:pPr>
        <w:ind w:firstLine="627" w:firstLineChars="196"/>
        <w:rPr>
          <w:rFonts w:ascii="仿宋_GB2312" w:hAnsi="仿宋" w:eastAsia="仿宋_GB2312"/>
          <w:bCs/>
          <w:sz w:val="32"/>
          <w:szCs w:val="32"/>
        </w:rPr>
      </w:pPr>
      <w:r>
        <w:rPr>
          <w:rFonts w:hint="eastAsia" w:ascii="仿宋_GB2312" w:hAnsi="仿宋" w:eastAsia="仿宋_GB2312"/>
          <w:bCs/>
          <w:sz w:val="32"/>
          <w:szCs w:val="32"/>
        </w:rPr>
        <w:t>1.各区各级康园工疗机构经费原则上由区康园中心统筹管理，独立审批、专款专用，使用范围包括日常运营经费、工作人员薪酬、工疗人员职业训练津贴、接受服务的残疾人及机构工作人员的补贴、工资、保险及差旅费、区康园中心与工疗站的装修、无障碍改造、设施设备购置、水电费、管理费、耗品购置、设备维修及折旧费、活动经费和其他办公费用、非常规性非契约性费用等项目支出。</w:t>
      </w:r>
    </w:p>
    <w:p>
      <w:pPr>
        <w:ind w:firstLine="627" w:firstLineChars="196"/>
        <w:rPr>
          <w:rFonts w:ascii="仿宋_GB2312" w:hAnsi="仿宋" w:eastAsia="仿宋_GB2312"/>
          <w:bCs/>
          <w:sz w:val="32"/>
          <w:szCs w:val="32"/>
        </w:rPr>
      </w:pPr>
      <w:r>
        <w:rPr>
          <w:rFonts w:hint="eastAsia" w:ascii="仿宋_GB2312" w:hAnsi="仿宋" w:eastAsia="仿宋_GB2312"/>
          <w:bCs/>
          <w:sz w:val="32"/>
          <w:szCs w:val="32"/>
        </w:rPr>
        <w:t>2.区康园中心应当建立相应经费审批制度，对经费开支情况进行记录，定期向区残联审计部门提交经费使用审计报告。</w:t>
      </w:r>
    </w:p>
    <w:p>
      <w:pPr>
        <w:ind w:firstLine="630" w:firstLineChars="196"/>
        <w:rPr>
          <w:rFonts w:ascii="仿宋_GB2312" w:hAnsi="仿宋" w:eastAsia="仿宋_GB2312"/>
          <w:b/>
          <w:sz w:val="32"/>
          <w:szCs w:val="32"/>
        </w:rPr>
      </w:pPr>
      <w:r>
        <w:rPr>
          <w:rFonts w:hint="eastAsia" w:ascii="仿宋_GB2312" w:hAnsi="仿宋" w:eastAsia="仿宋_GB2312"/>
          <w:b/>
          <w:sz w:val="32"/>
          <w:szCs w:val="32"/>
        </w:rPr>
        <w:t>第五十七条   【</w:t>
      </w:r>
      <w:r>
        <w:rPr>
          <w:rFonts w:hint="eastAsia" w:ascii="仿宋_GB2312" w:hAnsi="仿宋" w:eastAsia="仿宋_GB2312"/>
          <w:b/>
          <w:bCs/>
          <w:sz w:val="32"/>
          <w:szCs w:val="32"/>
        </w:rPr>
        <w:t>学员津贴及发放</w:t>
      </w:r>
      <w:r>
        <w:rPr>
          <w:rFonts w:hint="eastAsia" w:ascii="仿宋_GB2312" w:hAnsi="仿宋" w:eastAsia="仿宋_GB2312"/>
          <w:b/>
          <w:sz w:val="32"/>
          <w:szCs w:val="32"/>
        </w:rPr>
        <w:t>】</w:t>
      </w:r>
    </w:p>
    <w:p>
      <w:pPr>
        <w:ind w:firstLine="627" w:firstLineChars="196"/>
        <w:rPr>
          <w:rFonts w:ascii="仿宋_GB2312" w:hAnsi="仿宋" w:eastAsia="仿宋_GB2312"/>
          <w:sz w:val="32"/>
          <w:szCs w:val="32"/>
        </w:rPr>
      </w:pPr>
      <w:r>
        <w:rPr>
          <w:rFonts w:hint="eastAsia" w:ascii="仿宋_GB2312" w:hAnsi="仿宋" w:eastAsia="仿宋_GB2312"/>
          <w:color w:val="000000"/>
          <w:sz w:val="32"/>
          <w:szCs w:val="32"/>
        </w:rPr>
        <w:t>工疗站学员按不少于20元/每人每天(以实际到康园工疗机构时间计算)标准发放职业训练津贴（用于伙食和交通补贴）。</w:t>
      </w:r>
      <w:r>
        <w:rPr>
          <w:rFonts w:hint="eastAsia" w:ascii="仿宋_GB2312" w:hAnsi="仿宋" w:eastAsia="仿宋_GB2312"/>
          <w:sz w:val="32"/>
          <w:szCs w:val="32"/>
        </w:rPr>
        <w:t>该项津贴根据学员到站考勤情况据实发放，并通过银行转账方式按月支付（工作表格另附），有关发放情况要在工疗站统计归档。各区自行增加发放的补贴可另制表格，并通过银行转账发放。</w:t>
      </w:r>
    </w:p>
    <w:bookmarkEnd w:id="95"/>
    <w:p>
      <w:pPr>
        <w:ind w:firstLine="630" w:firstLineChars="196"/>
        <w:rPr>
          <w:rFonts w:ascii="仿宋_GB2312" w:hAnsi="仿宋" w:eastAsia="仿宋_GB2312"/>
          <w:b/>
          <w:sz w:val="32"/>
          <w:szCs w:val="32"/>
        </w:rPr>
      </w:pPr>
      <w:bookmarkStart w:id="96" w:name="_Hlk54729164"/>
      <w:r>
        <w:rPr>
          <w:rFonts w:hint="eastAsia" w:ascii="仿宋_GB2312" w:hAnsi="仿宋" w:eastAsia="仿宋_GB2312"/>
          <w:b/>
          <w:sz w:val="32"/>
          <w:szCs w:val="32"/>
        </w:rPr>
        <w:t>第五十八条  【</w:t>
      </w:r>
      <w:r>
        <w:rPr>
          <w:rFonts w:hint="eastAsia" w:ascii="仿宋_GB2312" w:hAnsi="仿宋" w:eastAsia="仿宋_GB2312"/>
          <w:b/>
          <w:bCs/>
          <w:sz w:val="32"/>
          <w:szCs w:val="32"/>
        </w:rPr>
        <w:t>财务管理制度</w:t>
      </w:r>
      <w:r>
        <w:rPr>
          <w:rFonts w:hint="eastAsia" w:ascii="仿宋_GB2312" w:hAnsi="仿宋" w:eastAsia="仿宋_GB2312"/>
          <w:b/>
          <w:sz w:val="32"/>
          <w:szCs w:val="32"/>
        </w:rPr>
        <w:t xml:space="preserve">】 </w:t>
      </w:r>
    </w:p>
    <w:p>
      <w:pPr>
        <w:ind w:firstLine="627" w:firstLineChars="196"/>
        <w:rPr>
          <w:rFonts w:ascii="仿宋_GB2312" w:hAnsi="仿宋" w:eastAsia="仿宋_GB2312"/>
          <w:bCs/>
          <w:sz w:val="32"/>
          <w:szCs w:val="32"/>
        </w:rPr>
      </w:pPr>
      <w:r>
        <w:rPr>
          <w:rFonts w:hint="eastAsia" w:ascii="仿宋_GB2312" w:hAnsi="仿宋" w:eastAsia="仿宋_GB2312"/>
          <w:bCs/>
          <w:sz w:val="32"/>
          <w:szCs w:val="32"/>
        </w:rPr>
        <w:t>1.区康园中心应建立财务管理制度，依法建立会计账簿并对本区康园工疗机构进行会计核算，定期进行审计，资金财产、凭证、单据、账目齐全，符合规定，财务报表定期公开。</w:t>
      </w:r>
    </w:p>
    <w:p>
      <w:pPr>
        <w:ind w:firstLine="627" w:firstLineChars="196"/>
        <w:rPr>
          <w:rFonts w:ascii="仿宋_GB2312" w:hAnsi="仿宋" w:eastAsia="仿宋_GB2312"/>
          <w:bCs/>
          <w:sz w:val="32"/>
          <w:szCs w:val="32"/>
        </w:rPr>
      </w:pPr>
      <w:r>
        <w:rPr>
          <w:rFonts w:hint="eastAsia" w:ascii="仿宋_GB2312" w:hAnsi="仿宋" w:eastAsia="仿宋_GB2312"/>
          <w:bCs/>
          <w:sz w:val="32"/>
          <w:szCs w:val="32"/>
        </w:rPr>
        <w:t>2.区康园中心应每年向区残联审计部门制作并提交一次财务审计报告作为财务资金监管检查任务要求。逐步减少由会计事务所、财政部门等第三方机构进行的不定期财务资金监管检查工作环节。</w:t>
      </w:r>
    </w:p>
    <w:p>
      <w:pPr>
        <w:ind w:firstLine="627" w:firstLineChars="196"/>
        <w:rPr>
          <w:rFonts w:ascii="仿宋_GB2312" w:hAnsi="仿宋" w:eastAsia="仿宋_GB2312"/>
          <w:bCs/>
          <w:sz w:val="32"/>
          <w:szCs w:val="32"/>
        </w:rPr>
      </w:pPr>
      <w:r>
        <w:rPr>
          <w:rFonts w:hint="eastAsia" w:ascii="仿宋_GB2312" w:hAnsi="仿宋" w:eastAsia="仿宋_GB2312"/>
          <w:bCs/>
          <w:sz w:val="32"/>
          <w:szCs w:val="32"/>
        </w:rPr>
        <w:t>3.区康园中心应建立固定资产管理制度，对物资的购置、领用、借出、保养和报废等进行登记管理。</w:t>
      </w:r>
    </w:p>
    <w:p>
      <w:pPr>
        <w:ind w:firstLine="627" w:firstLineChars="196"/>
        <w:rPr>
          <w:rFonts w:ascii="仿宋_GB2312" w:hAnsi="仿宋" w:eastAsia="仿宋_GB2312"/>
          <w:bCs/>
          <w:sz w:val="32"/>
          <w:szCs w:val="32"/>
        </w:rPr>
      </w:pPr>
      <w:r>
        <w:rPr>
          <w:rFonts w:hint="eastAsia" w:ascii="仿宋_GB2312" w:hAnsi="仿宋" w:eastAsia="仿宋_GB2312"/>
          <w:bCs/>
          <w:sz w:val="32"/>
          <w:szCs w:val="32"/>
        </w:rPr>
        <w:t>4.区康园中心应建立财务报告制度，按要求向行政业务主管单位或购买服务主体提供资金的使用情况、项目 执行情况、绩效报告等材料。</w:t>
      </w:r>
    </w:p>
    <w:bookmarkEnd w:id="96"/>
    <w:p>
      <w:pPr>
        <w:ind w:firstLine="643" w:firstLineChars="200"/>
        <w:rPr>
          <w:rFonts w:ascii="仿宋_GB2312" w:hAnsi="仿宋" w:eastAsia="仿宋_GB2312"/>
          <w:b/>
          <w:bCs/>
          <w:sz w:val="32"/>
          <w:szCs w:val="32"/>
        </w:rPr>
      </w:pPr>
      <w:bookmarkStart w:id="97" w:name="_Hlk54737282"/>
      <w:r>
        <w:rPr>
          <w:rFonts w:hint="eastAsia" w:ascii="仿宋_GB2312" w:hAnsi="仿宋" w:eastAsia="仿宋_GB2312"/>
          <w:b/>
          <w:bCs/>
          <w:sz w:val="32"/>
          <w:szCs w:val="32"/>
        </w:rPr>
        <w:t>第五十九条   【捐赠、补助公开及监管制度】</w:t>
      </w:r>
    </w:p>
    <w:p>
      <w:pPr>
        <w:ind w:firstLine="640" w:firstLineChars="200"/>
        <w:rPr>
          <w:rFonts w:ascii="仿宋_GB2312" w:hAnsi="仿宋" w:eastAsia="仿宋_GB2312"/>
          <w:sz w:val="32"/>
          <w:szCs w:val="32"/>
        </w:rPr>
      </w:pPr>
      <w:r>
        <w:rPr>
          <w:rFonts w:hint="eastAsia" w:ascii="仿宋_GB2312" w:hAnsi="仿宋" w:eastAsia="仿宋_GB2312"/>
          <w:sz w:val="32"/>
          <w:szCs w:val="32"/>
        </w:rPr>
        <w:t>康园工疗机构接受社会捐赠、政府补助的，应当专款专用，有详尽的使用记录，按要求向行政业务主管单位或购买服务主体提供资金的使用情况、项目执行情况、绩效报告等材料。并公开接受捐赠的情况和受赠资产使用、管理情况，接受审计部门监管。</w:t>
      </w:r>
    </w:p>
    <w:bookmarkEnd w:id="97"/>
    <w:p>
      <w:pPr>
        <w:ind w:firstLine="630" w:firstLineChars="196"/>
        <w:rPr>
          <w:rFonts w:ascii="仿宋_GB2312" w:hAnsi="仿宋" w:eastAsia="仿宋_GB2312"/>
          <w:b/>
          <w:sz w:val="32"/>
          <w:szCs w:val="32"/>
        </w:rPr>
      </w:pPr>
      <w:bookmarkStart w:id="98" w:name="_Hlk54729684"/>
      <w:bookmarkStart w:id="99" w:name="_Hlk54737310"/>
      <w:r>
        <w:rPr>
          <w:rFonts w:hint="eastAsia" w:ascii="仿宋_GB2312" w:hAnsi="仿宋" w:eastAsia="仿宋_GB2312"/>
          <w:b/>
          <w:sz w:val="32"/>
          <w:szCs w:val="32"/>
        </w:rPr>
        <w:t>第六十条  【财务</w:t>
      </w:r>
      <w:r>
        <w:rPr>
          <w:rFonts w:hint="eastAsia" w:ascii="仿宋_GB2312" w:hAnsi="仿宋" w:eastAsia="仿宋_GB2312"/>
          <w:b/>
          <w:bCs/>
          <w:sz w:val="32"/>
          <w:szCs w:val="32"/>
        </w:rPr>
        <w:t>监管制度</w:t>
      </w:r>
      <w:r>
        <w:rPr>
          <w:rFonts w:hint="eastAsia" w:ascii="仿宋_GB2312" w:hAnsi="仿宋" w:eastAsia="仿宋_GB2312"/>
          <w:b/>
          <w:sz w:val="32"/>
          <w:szCs w:val="32"/>
        </w:rPr>
        <w:t>】</w:t>
      </w:r>
    </w:p>
    <w:p>
      <w:pPr>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各级残联、康园工疗机构等有关单位及个人，要自觉接受上级部门的财务监督检查。</w:t>
      </w:r>
      <w:bookmarkEnd w:id="98"/>
    </w:p>
    <w:bookmarkEnd w:id="99"/>
    <w:p>
      <w:pPr>
        <w:rPr>
          <w:rFonts w:ascii="仿宋_GB2312" w:eastAsia="仿宋_GB2312"/>
          <w:color w:val="000000"/>
          <w:sz w:val="32"/>
          <w:szCs w:val="32"/>
        </w:rPr>
      </w:pPr>
    </w:p>
    <w:p>
      <w:pPr>
        <w:jc w:val="center"/>
        <w:rPr>
          <w:rFonts w:ascii="仿宋_GB2312" w:hAnsi="宋体" w:eastAsia="仿宋_GB2312"/>
          <w:b/>
          <w:sz w:val="32"/>
          <w:szCs w:val="32"/>
        </w:rPr>
      </w:pPr>
      <w:bookmarkStart w:id="100" w:name="_Hlk54737364"/>
      <w:r>
        <w:rPr>
          <w:rFonts w:hint="eastAsia" w:ascii="仿宋_GB2312" w:hAnsi="宋体" w:eastAsia="仿宋_GB2312"/>
          <w:b/>
          <w:sz w:val="32"/>
          <w:szCs w:val="32"/>
        </w:rPr>
        <w:t>第十章 监督管理</w:t>
      </w:r>
    </w:p>
    <w:p>
      <w:pPr>
        <w:ind w:firstLine="630" w:firstLineChars="196"/>
        <w:rPr>
          <w:rFonts w:ascii="仿宋_GB2312" w:hAnsi="仿宋" w:eastAsia="仿宋_GB2312"/>
          <w:b/>
          <w:sz w:val="32"/>
          <w:szCs w:val="32"/>
        </w:rPr>
      </w:pPr>
      <w:r>
        <w:rPr>
          <w:rFonts w:hint="eastAsia" w:ascii="仿宋_GB2312" w:hAnsi="仿宋" w:eastAsia="仿宋_GB2312"/>
          <w:b/>
          <w:sz w:val="32"/>
          <w:szCs w:val="32"/>
        </w:rPr>
        <w:t>第六十一条  【市</w:t>
      </w:r>
      <w:r>
        <w:rPr>
          <w:rFonts w:hint="eastAsia" w:ascii="仿宋_GB2312" w:hAnsi="仿宋" w:eastAsia="仿宋_GB2312"/>
          <w:b/>
          <w:bCs/>
          <w:sz w:val="32"/>
          <w:szCs w:val="32"/>
        </w:rPr>
        <w:t>残疾人就业服务中心监管责任</w:t>
      </w:r>
      <w:r>
        <w:rPr>
          <w:rFonts w:hint="eastAsia" w:ascii="仿宋_GB2312" w:hAnsi="仿宋" w:eastAsia="仿宋_GB2312"/>
          <w:b/>
          <w:sz w:val="32"/>
          <w:szCs w:val="32"/>
        </w:rPr>
        <w:t>】</w:t>
      </w:r>
    </w:p>
    <w:p>
      <w:pPr>
        <w:ind w:firstLine="627" w:firstLineChars="196"/>
        <w:rPr>
          <w:rFonts w:ascii="仿宋_GB2312" w:hAnsi="仿宋" w:eastAsia="仿宋_GB2312"/>
          <w:sz w:val="32"/>
          <w:szCs w:val="32"/>
        </w:rPr>
      </w:pPr>
      <w:r>
        <w:rPr>
          <w:rFonts w:hint="eastAsia" w:ascii="仿宋_GB2312" w:hAnsi="仿宋" w:eastAsia="仿宋_GB2312"/>
          <w:sz w:val="32"/>
          <w:szCs w:val="32"/>
        </w:rPr>
        <w:t>市残疾人就业培训服务中心要经常检查了解各区康园工疗机构开展工疗训练业务情况，安全生产情况及活动开展情况，对存在问题及困难给予及时的帮助和支持，及时向市残联汇报相关情况。</w:t>
      </w:r>
      <w:bookmarkEnd w:id="100"/>
    </w:p>
    <w:p>
      <w:pPr>
        <w:ind w:firstLine="630" w:firstLineChars="196"/>
        <w:rPr>
          <w:rFonts w:ascii="仿宋_GB2312" w:hAnsi="仿宋" w:eastAsia="仿宋_GB2312"/>
          <w:b/>
          <w:sz w:val="32"/>
          <w:szCs w:val="32"/>
        </w:rPr>
      </w:pPr>
      <w:bookmarkStart w:id="101" w:name="_Hlk54737384"/>
      <w:r>
        <w:rPr>
          <w:rFonts w:hint="eastAsia" w:ascii="仿宋_GB2312" w:hAnsi="仿宋" w:eastAsia="仿宋_GB2312"/>
          <w:b/>
          <w:sz w:val="32"/>
          <w:szCs w:val="32"/>
        </w:rPr>
        <w:t>第六十二条  【</w:t>
      </w:r>
      <w:r>
        <w:rPr>
          <w:rFonts w:hint="eastAsia" w:ascii="仿宋_GB2312" w:hAnsi="仿宋" w:eastAsia="仿宋_GB2312"/>
          <w:b/>
          <w:bCs/>
          <w:sz w:val="32"/>
          <w:szCs w:val="32"/>
        </w:rPr>
        <w:t>区康园中心监管责任</w:t>
      </w:r>
      <w:r>
        <w:rPr>
          <w:rFonts w:hint="eastAsia" w:ascii="仿宋_GB2312" w:hAnsi="仿宋" w:eastAsia="仿宋_GB2312"/>
          <w:b/>
          <w:sz w:val="32"/>
          <w:szCs w:val="32"/>
        </w:rPr>
        <w:t>】</w:t>
      </w:r>
    </w:p>
    <w:p>
      <w:pPr>
        <w:ind w:firstLine="627" w:firstLineChars="196"/>
        <w:rPr>
          <w:rFonts w:ascii="仿宋_GB2312" w:hAnsi="仿宋" w:eastAsia="仿宋_GB2312"/>
          <w:sz w:val="32"/>
          <w:szCs w:val="32"/>
        </w:rPr>
      </w:pPr>
      <w:r>
        <w:rPr>
          <w:rFonts w:hint="eastAsia" w:ascii="仿宋_GB2312" w:hAnsi="仿宋" w:eastAsia="仿宋_GB2312"/>
          <w:sz w:val="32"/>
          <w:szCs w:val="32"/>
        </w:rPr>
        <w:t>区康园中心要对下辖工疗站加强管理和监督，在机构设置、工作人员聘用、学员入站、安全及设施设备管理、资金监管等方面负有直接责任，区康园中心委托管理的要明确其直接管理责任。每半年对工疗站检查不少于一次，对突出问题要及时上报。</w:t>
      </w:r>
    </w:p>
    <w:bookmarkEnd w:id="101"/>
    <w:p>
      <w:pPr>
        <w:ind w:firstLine="630" w:firstLineChars="196"/>
        <w:rPr>
          <w:rFonts w:ascii="仿宋_GB2312" w:hAnsi="仿宋" w:eastAsia="仿宋_GB2312"/>
          <w:b/>
          <w:sz w:val="32"/>
          <w:szCs w:val="32"/>
        </w:rPr>
      </w:pPr>
      <w:bookmarkStart w:id="102" w:name="_Hlk54737401"/>
      <w:r>
        <w:rPr>
          <w:rFonts w:hint="eastAsia" w:ascii="仿宋_GB2312" w:hAnsi="仿宋" w:eastAsia="仿宋_GB2312"/>
          <w:b/>
          <w:sz w:val="32"/>
          <w:szCs w:val="32"/>
        </w:rPr>
        <w:t>第六十三条  【</w:t>
      </w:r>
      <w:r>
        <w:rPr>
          <w:rFonts w:hint="eastAsia" w:ascii="仿宋_GB2312" w:hAnsi="仿宋" w:eastAsia="仿宋_GB2312"/>
          <w:b/>
          <w:bCs/>
          <w:sz w:val="32"/>
          <w:szCs w:val="32"/>
        </w:rPr>
        <w:t>各级康园工疗机构责任</w:t>
      </w:r>
      <w:r>
        <w:rPr>
          <w:rFonts w:hint="eastAsia" w:ascii="仿宋_GB2312" w:hAnsi="仿宋" w:eastAsia="仿宋_GB2312"/>
          <w:b/>
          <w:sz w:val="32"/>
          <w:szCs w:val="32"/>
        </w:rPr>
        <w:t>】</w:t>
      </w:r>
    </w:p>
    <w:p>
      <w:pPr>
        <w:ind w:firstLine="627" w:firstLineChars="196"/>
        <w:rPr>
          <w:rFonts w:ascii="仿宋_GB2312" w:hAnsi="仿宋" w:eastAsia="仿宋_GB2312"/>
          <w:sz w:val="32"/>
          <w:szCs w:val="32"/>
        </w:rPr>
      </w:pPr>
      <w:r>
        <w:rPr>
          <w:rFonts w:hint="eastAsia" w:ascii="仿宋_GB2312" w:hAnsi="仿宋" w:eastAsia="仿宋_GB2312"/>
          <w:sz w:val="32"/>
          <w:szCs w:val="32"/>
        </w:rPr>
        <w:t>1.康园工疗机构要自觉接受上级业务主管部门以及受上级部门委托的第三方评价机构的定期检查、巡查或抽查，以及年度绩效、业务工作考核评估，第三方评价机构业务评估标准应契合康园工疗机构性质及运作实际；康园工疗机构应进行服务质量自我评估。</w:t>
      </w:r>
    </w:p>
    <w:p>
      <w:pPr>
        <w:ind w:firstLine="627" w:firstLineChars="196"/>
        <w:rPr>
          <w:rFonts w:ascii="仿宋_GB2312" w:hAnsi="仿宋" w:eastAsia="仿宋_GB2312"/>
          <w:sz w:val="32"/>
          <w:szCs w:val="32"/>
        </w:rPr>
      </w:pPr>
      <w:r>
        <w:rPr>
          <w:rFonts w:hint="eastAsia" w:ascii="仿宋_GB2312" w:hAnsi="仿宋" w:eastAsia="仿宋_GB2312"/>
          <w:sz w:val="32"/>
          <w:szCs w:val="32"/>
        </w:rPr>
        <w:t>2.区康园中心应每半年至少开展一次自我评价，接受每年至少一次的业务主管部门或第三方评价。此外，应定期接受所属行业领域的系统专业监督指导。</w:t>
      </w:r>
    </w:p>
    <w:bookmarkEnd w:id="102"/>
    <w:p>
      <w:pPr>
        <w:ind w:firstLine="630" w:firstLineChars="196"/>
        <w:rPr>
          <w:rFonts w:ascii="仿宋_GB2312" w:hAnsi="仿宋" w:eastAsia="仿宋_GB2312"/>
          <w:b/>
          <w:sz w:val="32"/>
          <w:szCs w:val="32"/>
        </w:rPr>
      </w:pPr>
      <w:bookmarkStart w:id="103" w:name="_Hlk54737429"/>
      <w:r>
        <w:rPr>
          <w:rFonts w:hint="eastAsia" w:ascii="仿宋_GB2312" w:hAnsi="仿宋" w:eastAsia="仿宋_GB2312"/>
          <w:b/>
          <w:sz w:val="32"/>
          <w:szCs w:val="32"/>
        </w:rPr>
        <w:t>第六十四条  【</w:t>
      </w:r>
      <w:r>
        <w:rPr>
          <w:rFonts w:hint="eastAsia" w:ascii="仿宋_GB2312" w:hAnsi="仿宋" w:eastAsia="仿宋_GB2312"/>
          <w:b/>
          <w:bCs/>
          <w:sz w:val="32"/>
          <w:szCs w:val="32"/>
        </w:rPr>
        <w:t>违规情形及法律后果</w:t>
      </w:r>
      <w:r>
        <w:rPr>
          <w:rFonts w:hint="eastAsia" w:ascii="仿宋_GB2312" w:hAnsi="仿宋" w:eastAsia="仿宋_GB2312"/>
          <w:b/>
          <w:sz w:val="32"/>
          <w:szCs w:val="32"/>
        </w:rPr>
        <w:t>】</w:t>
      </w:r>
    </w:p>
    <w:bookmarkEnd w:id="103"/>
    <w:p>
      <w:pPr>
        <w:ind w:firstLine="627" w:firstLineChars="196"/>
        <w:rPr>
          <w:rFonts w:ascii="仿宋_GB2312" w:hAnsi="仿宋" w:eastAsia="仿宋_GB2312"/>
          <w:color w:val="000000"/>
          <w:sz w:val="32"/>
          <w:szCs w:val="32"/>
        </w:rPr>
      </w:pPr>
      <w:r>
        <w:rPr>
          <w:rFonts w:hint="eastAsia" w:ascii="仿宋_GB2312" w:hAnsi="仿宋" w:eastAsia="仿宋_GB2312"/>
          <w:color w:val="000000"/>
          <w:sz w:val="32"/>
          <w:szCs w:val="32"/>
        </w:rPr>
        <w:t>相关机构及人员存在违反规定分配或使用资金，以及其他滥用职权、玩忽职守、徇私舞弊、侵害残疾人权益等违法违纪行为的，按照《预算法》、《公务员法》、《监察法》、《财政违法行为处罚处分条例》、《残疾人服务机构管理办法》等国家有关规定追究相应责任；涉嫌犯罪的，依法移送司法机关处理。</w:t>
      </w:r>
    </w:p>
    <w:p>
      <w:pPr>
        <w:jc w:val="center"/>
        <w:rPr>
          <w:rFonts w:ascii="仿宋_GB2312" w:hAnsi="仿宋" w:eastAsia="仿宋_GB2312"/>
          <w:sz w:val="32"/>
          <w:szCs w:val="32"/>
        </w:rPr>
      </w:pPr>
    </w:p>
    <w:p>
      <w:pPr>
        <w:jc w:val="center"/>
        <w:rPr>
          <w:rFonts w:ascii="仿宋_GB2312" w:hAnsi="宋体" w:eastAsia="仿宋_GB2312"/>
          <w:b/>
          <w:sz w:val="32"/>
          <w:szCs w:val="32"/>
        </w:rPr>
      </w:pPr>
      <w:bookmarkStart w:id="104" w:name="_Hlk54737710"/>
      <w:r>
        <w:rPr>
          <w:rFonts w:hint="eastAsia" w:ascii="仿宋_GB2312" w:hAnsi="宋体" w:eastAsia="仿宋_GB2312"/>
          <w:b/>
          <w:sz w:val="32"/>
          <w:szCs w:val="32"/>
        </w:rPr>
        <w:t>第十一章 附则</w:t>
      </w:r>
    </w:p>
    <w:bookmarkEnd w:id="104"/>
    <w:p>
      <w:pPr>
        <w:ind w:firstLine="630" w:firstLineChars="196"/>
        <w:rPr>
          <w:rFonts w:ascii="仿宋_GB2312" w:hAnsi="仿宋" w:eastAsia="仿宋_GB2312"/>
          <w:sz w:val="32"/>
          <w:szCs w:val="32"/>
        </w:rPr>
      </w:pPr>
      <w:r>
        <w:rPr>
          <w:rFonts w:hint="eastAsia" w:ascii="仿宋_GB2312" w:hAnsi="仿宋" w:eastAsia="仿宋_GB2312"/>
          <w:b/>
          <w:sz w:val="32"/>
          <w:szCs w:val="32"/>
        </w:rPr>
        <w:t xml:space="preserve">第六十五条   </w:t>
      </w:r>
      <w:r>
        <w:rPr>
          <w:rFonts w:hint="eastAsia" w:ascii="仿宋_GB2312" w:hAnsi="仿宋" w:eastAsia="仿宋_GB2312"/>
          <w:sz w:val="32"/>
          <w:szCs w:val="32"/>
        </w:rPr>
        <w:t>本规范自20  年  月  日起施行，有效期5年。</w:t>
      </w:r>
    </w:p>
    <w:p>
      <w:pPr>
        <w:ind w:firstLine="480" w:firstLineChars="150"/>
        <w:rPr>
          <w:rFonts w:ascii="仿宋_GB2312" w:hAnsi="仿宋" w:eastAsia="仿宋_GB2312"/>
          <w:sz w:val="32"/>
          <w:szCs w:val="32"/>
        </w:rPr>
      </w:pPr>
    </w:p>
    <w:p>
      <w:pPr>
        <w:ind w:firstLine="450" w:firstLineChars="150"/>
        <w:rPr>
          <w:rFonts w:ascii="仿宋_GB2312" w:hAnsi="仿宋" w:eastAsia="仿宋_GB2312"/>
          <w:sz w:val="30"/>
          <w:szCs w:val="30"/>
        </w:rPr>
      </w:pPr>
      <w:r>
        <w:rPr>
          <w:rFonts w:hint="eastAsia" w:ascii="仿宋_GB2312" w:hAnsi="仿宋" w:eastAsia="仿宋_GB2312"/>
          <w:sz w:val="30"/>
          <w:szCs w:val="30"/>
        </w:rPr>
        <w:t>附件：1.广州市康园工疗机构学员入站报名登记表</w:t>
      </w:r>
    </w:p>
    <w:p>
      <w:pPr>
        <w:ind w:firstLine="450" w:firstLineChars="150"/>
        <w:rPr>
          <w:rFonts w:ascii="仿宋_GB2312" w:hAnsi="仿宋" w:eastAsia="仿宋_GB2312"/>
          <w:sz w:val="30"/>
          <w:szCs w:val="30"/>
        </w:rPr>
      </w:pPr>
      <w:r>
        <w:rPr>
          <w:rFonts w:hint="eastAsia" w:ascii="仿宋_GB2312" w:hAnsi="仿宋" w:eastAsia="仿宋_GB2312"/>
          <w:sz w:val="30"/>
          <w:szCs w:val="30"/>
        </w:rPr>
        <w:t xml:space="preserve">      2.广州市康园工疗机构学员初评表</w:t>
      </w:r>
    </w:p>
    <w:p>
      <w:pPr>
        <w:ind w:firstLine="450" w:firstLineChars="150"/>
        <w:rPr>
          <w:rFonts w:ascii="仿宋_GB2312" w:hAnsi="仿宋" w:eastAsia="仿宋_GB2312"/>
          <w:color w:val="000000" w:themeColor="text1"/>
          <w:sz w:val="30"/>
          <w:szCs w:val="30"/>
        </w:rPr>
      </w:pPr>
      <w:r>
        <w:rPr>
          <w:rFonts w:hint="eastAsia" w:ascii="仿宋_GB2312" w:hAnsi="仿宋" w:eastAsia="仿宋_GB2312"/>
          <w:sz w:val="30"/>
          <w:szCs w:val="30"/>
        </w:rPr>
        <w:t xml:space="preserve"> </w:t>
      </w:r>
      <w:r>
        <w:rPr>
          <w:rFonts w:hint="eastAsia" w:ascii="仿宋_GB2312" w:hAnsi="仿宋" w:eastAsia="仿宋_GB2312"/>
          <w:color w:val="FF0000"/>
          <w:sz w:val="30"/>
          <w:szCs w:val="30"/>
        </w:rPr>
        <w:t xml:space="preserve">    </w:t>
      </w:r>
      <w:r>
        <w:rPr>
          <w:rFonts w:hint="eastAsia" w:ascii="仿宋_GB2312" w:hAnsi="仿宋" w:eastAsia="仿宋_GB2312"/>
          <w:color w:val="000000" w:themeColor="text1"/>
          <w:sz w:val="30"/>
          <w:szCs w:val="30"/>
        </w:rPr>
        <w:t xml:space="preserve"> 3.广州市康园工疗机构学员花名册</w:t>
      </w:r>
    </w:p>
    <w:p>
      <w:pPr>
        <w:ind w:firstLine="450" w:firstLineChars="150"/>
        <w:rPr>
          <w:rFonts w:ascii="仿宋_GB2312" w:hAnsi="仿宋" w:eastAsia="仿宋_GB2312"/>
          <w:sz w:val="30"/>
          <w:szCs w:val="30"/>
        </w:rPr>
      </w:pPr>
      <w:r>
        <w:rPr>
          <w:rFonts w:hint="eastAsia" w:ascii="仿宋_GB2312" w:hAnsi="仿宋" w:eastAsia="仿宋_GB2312"/>
          <w:sz w:val="30"/>
          <w:szCs w:val="30"/>
        </w:rPr>
        <w:t xml:space="preserve">      4.广州市康园工疗机构学员到站签到表</w:t>
      </w:r>
    </w:p>
    <w:p>
      <w:pPr>
        <w:ind w:firstLine="450" w:firstLineChars="150"/>
        <w:rPr>
          <w:rFonts w:ascii="仿宋_GB2312" w:hAnsi="仿宋" w:eastAsia="仿宋_GB2312"/>
          <w:w w:val="99"/>
          <w:sz w:val="30"/>
          <w:szCs w:val="30"/>
        </w:rPr>
        <w:sectPr>
          <w:footerReference r:id="rId3" w:type="default"/>
          <w:footerReference r:id="rId4" w:type="even"/>
          <w:pgSz w:w="11906" w:h="16838"/>
          <w:pgMar w:top="2098" w:right="1474" w:bottom="1985" w:left="1588" w:header="851" w:footer="992" w:gutter="0"/>
          <w:pgNumType w:fmt="numberInDash"/>
          <w:cols w:space="425" w:num="1"/>
          <w:docGrid w:type="lines" w:linePitch="312" w:charSpace="0"/>
        </w:sectPr>
      </w:pPr>
      <w:r>
        <w:rPr>
          <w:rFonts w:hint="eastAsia" w:ascii="仿宋_GB2312" w:hAnsi="仿宋" w:eastAsia="仿宋_GB2312"/>
          <w:sz w:val="30"/>
          <w:szCs w:val="30"/>
        </w:rPr>
        <w:t xml:space="preserve">      </w:t>
      </w:r>
    </w:p>
    <w:p>
      <w:pPr>
        <w:rPr>
          <w:rFonts w:ascii="仿宋" w:hAnsi="仿宋" w:eastAsia="仿宋"/>
          <w:sz w:val="28"/>
          <w:szCs w:val="28"/>
        </w:rPr>
      </w:pPr>
    </w:p>
    <w:p>
      <w:pPr>
        <w:rPr>
          <w:rFonts w:ascii="仿宋" w:hAnsi="仿宋" w:eastAsia="仿宋"/>
          <w:sz w:val="28"/>
          <w:szCs w:val="28"/>
        </w:rPr>
      </w:pPr>
      <w:r>
        <w:rPr>
          <w:rFonts w:hint="eastAsia" w:ascii="仿宋" w:hAnsi="仿宋" w:eastAsia="仿宋"/>
          <w:sz w:val="28"/>
          <w:szCs w:val="28"/>
        </w:rPr>
        <w:t>附件1</w:t>
      </w:r>
    </w:p>
    <w:p>
      <w:pPr>
        <w:jc w:val="center"/>
        <w:rPr>
          <w:rFonts w:ascii="仿宋" w:hAnsi="仿宋" w:eastAsia="仿宋"/>
          <w:b/>
          <w:sz w:val="28"/>
          <w:szCs w:val="28"/>
        </w:rPr>
      </w:pPr>
      <w:r>
        <w:rPr>
          <w:rFonts w:hint="eastAsia" w:ascii="仿宋" w:hAnsi="仿宋" w:eastAsia="仿宋"/>
          <w:b/>
          <w:sz w:val="28"/>
          <w:szCs w:val="28"/>
        </w:rPr>
        <w:t>广州市康园工疗机构学员入站报名登记表</w:t>
      </w:r>
    </w:p>
    <w:p>
      <w:pPr>
        <w:rPr>
          <w:rFonts w:ascii="仿宋" w:hAnsi="仿宋" w:eastAsia="仿宋"/>
          <w:sz w:val="28"/>
          <w:szCs w:val="28"/>
        </w:rPr>
      </w:pPr>
      <w:r>
        <w:rPr>
          <w:rFonts w:hint="eastAsia" w:ascii="仿宋" w:hAnsi="仿宋" w:eastAsia="仿宋"/>
          <w:sz w:val="28"/>
          <w:szCs w:val="28"/>
        </w:rPr>
        <w:t xml:space="preserve">      区       街（乡镇）       社区（村居）</w:t>
      </w:r>
    </w:p>
    <w:tbl>
      <w:tblPr>
        <w:tblStyle w:val="9"/>
        <w:tblW w:w="1044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1"/>
        <w:gridCol w:w="702"/>
        <w:gridCol w:w="702"/>
        <w:gridCol w:w="142"/>
        <w:gridCol w:w="203"/>
        <w:gridCol w:w="360"/>
        <w:gridCol w:w="155"/>
        <w:gridCol w:w="547"/>
        <w:gridCol w:w="163"/>
        <w:gridCol w:w="544"/>
        <w:gridCol w:w="391"/>
        <w:gridCol w:w="311"/>
        <w:gridCol w:w="49"/>
        <w:gridCol w:w="315"/>
        <w:gridCol w:w="225"/>
        <w:gridCol w:w="125"/>
        <w:gridCol w:w="415"/>
        <w:gridCol w:w="284"/>
        <w:gridCol w:w="257"/>
        <w:gridCol w:w="359"/>
        <w:gridCol w:w="166"/>
        <w:gridCol w:w="194"/>
        <w:gridCol w:w="180"/>
        <w:gridCol w:w="445"/>
        <w:gridCol w:w="93"/>
        <w:gridCol w:w="758"/>
        <w:gridCol w:w="324"/>
        <w:gridCol w:w="36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591" w:type="dxa"/>
            <w:noWrap/>
            <w:vAlign w:val="center"/>
          </w:tcPr>
          <w:p>
            <w:pPr>
              <w:jc w:val="center"/>
              <w:rPr>
                <w:rFonts w:ascii="仿宋" w:hAnsi="仿宋" w:eastAsia="仿宋"/>
                <w:sz w:val="28"/>
                <w:szCs w:val="28"/>
              </w:rPr>
            </w:pPr>
            <w:r>
              <w:rPr>
                <w:rFonts w:hint="eastAsia" w:ascii="仿宋" w:hAnsi="仿宋" w:eastAsia="仿宋"/>
                <w:sz w:val="28"/>
                <w:szCs w:val="28"/>
              </w:rPr>
              <w:t>姓名</w:t>
            </w:r>
          </w:p>
        </w:tc>
        <w:tc>
          <w:tcPr>
            <w:tcW w:w="1404" w:type="dxa"/>
            <w:gridSpan w:val="2"/>
            <w:noWrap/>
            <w:vAlign w:val="center"/>
          </w:tcPr>
          <w:p>
            <w:pPr>
              <w:jc w:val="center"/>
              <w:rPr>
                <w:rFonts w:ascii="仿宋" w:hAnsi="仿宋" w:eastAsia="仿宋"/>
                <w:sz w:val="28"/>
                <w:szCs w:val="28"/>
              </w:rPr>
            </w:pPr>
          </w:p>
        </w:tc>
        <w:tc>
          <w:tcPr>
            <w:tcW w:w="705" w:type="dxa"/>
            <w:gridSpan w:val="3"/>
            <w:noWrap/>
            <w:vAlign w:val="center"/>
          </w:tcPr>
          <w:p>
            <w:pPr>
              <w:jc w:val="center"/>
              <w:rPr>
                <w:rFonts w:ascii="仿宋" w:hAnsi="仿宋" w:eastAsia="仿宋"/>
                <w:sz w:val="28"/>
                <w:szCs w:val="28"/>
              </w:rPr>
            </w:pPr>
            <w:r>
              <w:rPr>
                <w:rFonts w:hint="eastAsia" w:ascii="仿宋" w:hAnsi="仿宋" w:eastAsia="仿宋"/>
                <w:sz w:val="28"/>
                <w:szCs w:val="28"/>
              </w:rPr>
              <w:t>性别</w:t>
            </w:r>
          </w:p>
        </w:tc>
        <w:tc>
          <w:tcPr>
            <w:tcW w:w="702" w:type="dxa"/>
            <w:gridSpan w:val="2"/>
            <w:noWrap/>
            <w:vAlign w:val="center"/>
          </w:tcPr>
          <w:p>
            <w:pPr>
              <w:jc w:val="center"/>
              <w:rPr>
                <w:rFonts w:ascii="仿宋" w:hAnsi="仿宋" w:eastAsia="仿宋"/>
                <w:sz w:val="28"/>
                <w:szCs w:val="28"/>
              </w:rPr>
            </w:pPr>
          </w:p>
        </w:tc>
        <w:tc>
          <w:tcPr>
            <w:tcW w:w="707" w:type="dxa"/>
            <w:gridSpan w:val="2"/>
            <w:noWrap/>
            <w:vAlign w:val="center"/>
          </w:tcPr>
          <w:p>
            <w:pPr>
              <w:jc w:val="center"/>
              <w:rPr>
                <w:rFonts w:ascii="仿宋" w:hAnsi="仿宋" w:eastAsia="仿宋"/>
                <w:sz w:val="28"/>
                <w:szCs w:val="28"/>
              </w:rPr>
            </w:pPr>
            <w:r>
              <w:rPr>
                <w:rFonts w:hint="eastAsia" w:ascii="仿宋" w:hAnsi="仿宋" w:eastAsia="仿宋"/>
                <w:sz w:val="28"/>
                <w:szCs w:val="28"/>
              </w:rPr>
              <w:t>民族</w:t>
            </w:r>
          </w:p>
        </w:tc>
        <w:tc>
          <w:tcPr>
            <w:tcW w:w="702" w:type="dxa"/>
            <w:gridSpan w:val="2"/>
            <w:noWrap/>
            <w:vAlign w:val="center"/>
          </w:tcPr>
          <w:p>
            <w:pPr>
              <w:jc w:val="center"/>
              <w:rPr>
                <w:rFonts w:ascii="仿宋" w:hAnsi="仿宋" w:eastAsia="仿宋"/>
                <w:sz w:val="28"/>
                <w:szCs w:val="28"/>
              </w:rPr>
            </w:pPr>
          </w:p>
        </w:tc>
        <w:tc>
          <w:tcPr>
            <w:tcW w:w="1129" w:type="dxa"/>
            <w:gridSpan w:val="5"/>
            <w:noWrap/>
            <w:vAlign w:val="center"/>
          </w:tcPr>
          <w:p>
            <w:pPr>
              <w:jc w:val="center"/>
              <w:rPr>
                <w:rFonts w:ascii="仿宋" w:hAnsi="仿宋" w:eastAsia="仿宋"/>
                <w:sz w:val="28"/>
                <w:szCs w:val="28"/>
              </w:rPr>
            </w:pPr>
            <w:r>
              <w:rPr>
                <w:rFonts w:hint="eastAsia" w:ascii="仿宋" w:hAnsi="仿宋" w:eastAsia="仿宋"/>
                <w:sz w:val="28"/>
                <w:szCs w:val="28"/>
              </w:rPr>
              <w:t>出生</w:t>
            </w:r>
          </w:p>
          <w:p>
            <w:pPr>
              <w:jc w:val="center"/>
              <w:rPr>
                <w:rFonts w:ascii="仿宋" w:hAnsi="仿宋" w:eastAsia="仿宋"/>
                <w:sz w:val="28"/>
                <w:szCs w:val="28"/>
              </w:rPr>
            </w:pPr>
            <w:r>
              <w:rPr>
                <w:rFonts w:hint="eastAsia" w:ascii="仿宋" w:hAnsi="仿宋" w:eastAsia="仿宋"/>
                <w:sz w:val="28"/>
                <w:szCs w:val="28"/>
              </w:rPr>
              <w:t>年月</w:t>
            </w:r>
          </w:p>
        </w:tc>
        <w:tc>
          <w:tcPr>
            <w:tcW w:w="900" w:type="dxa"/>
            <w:gridSpan w:val="3"/>
            <w:noWrap/>
            <w:vAlign w:val="center"/>
          </w:tcPr>
          <w:p>
            <w:pPr>
              <w:jc w:val="center"/>
              <w:rPr>
                <w:rFonts w:ascii="仿宋" w:hAnsi="仿宋" w:eastAsia="仿宋"/>
                <w:sz w:val="28"/>
                <w:szCs w:val="28"/>
              </w:rPr>
            </w:pPr>
          </w:p>
        </w:tc>
        <w:tc>
          <w:tcPr>
            <w:tcW w:w="1078" w:type="dxa"/>
            <w:gridSpan w:val="5"/>
            <w:noWrap/>
            <w:vAlign w:val="center"/>
          </w:tcPr>
          <w:p>
            <w:pPr>
              <w:rPr>
                <w:rFonts w:ascii="仿宋" w:hAnsi="仿宋" w:eastAsia="仿宋"/>
                <w:sz w:val="28"/>
                <w:szCs w:val="28"/>
              </w:rPr>
            </w:pPr>
            <w:r>
              <w:rPr>
                <w:rFonts w:hint="eastAsia" w:ascii="仿宋" w:hAnsi="仿宋" w:eastAsia="仿宋"/>
                <w:sz w:val="28"/>
                <w:szCs w:val="28"/>
              </w:rPr>
              <w:t>出生地</w:t>
            </w:r>
          </w:p>
        </w:tc>
        <w:tc>
          <w:tcPr>
            <w:tcW w:w="758" w:type="dxa"/>
            <w:noWrap/>
            <w:vAlign w:val="center"/>
          </w:tcPr>
          <w:p>
            <w:pPr>
              <w:jc w:val="center"/>
              <w:rPr>
                <w:rFonts w:ascii="仿宋" w:hAnsi="仿宋" w:eastAsia="仿宋"/>
                <w:sz w:val="28"/>
                <w:szCs w:val="28"/>
              </w:rPr>
            </w:pPr>
          </w:p>
        </w:tc>
        <w:tc>
          <w:tcPr>
            <w:tcW w:w="1764" w:type="dxa"/>
            <w:gridSpan w:val="3"/>
            <w:vMerge w:val="restart"/>
            <w:noWrap/>
            <w:vAlign w:val="center"/>
          </w:tcPr>
          <w:p>
            <w:pPr>
              <w:jc w:val="center"/>
              <w:rPr>
                <w:rFonts w:ascii="仿宋" w:hAnsi="仿宋" w:eastAsia="仿宋"/>
                <w:sz w:val="28"/>
                <w:szCs w:val="28"/>
              </w:rPr>
            </w:pPr>
            <w:r>
              <w:rPr>
                <w:rFonts w:hint="eastAsia" w:ascii="仿宋" w:hAnsi="仿宋" w:eastAsia="仿宋"/>
                <w:sz w:val="28"/>
                <w:szCs w:val="28"/>
              </w:rPr>
              <w:t>照</w:t>
            </w:r>
          </w:p>
          <w:p>
            <w:pPr>
              <w:jc w:val="center"/>
              <w:rPr>
                <w:rFonts w:ascii="仿宋" w:hAnsi="仿宋" w:eastAsia="仿宋"/>
                <w:sz w:val="28"/>
                <w:szCs w:val="28"/>
              </w:rPr>
            </w:pPr>
            <w:r>
              <w:rPr>
                <w:rFonts w:hint="eastAsia" w:ascii="仿宋" w:hAnsi="仿宋" w:eastAsia="仿宋"/>
                <w:sz w:val="28"/>
                <w:szCs w:val="28"/>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93" w:type="dxa"/>
            <w:gridSpan w:val="2"/>
            <w:noWrap/>
            <w:vAlign w:val="center"/>
          </w:tcPr>
          <w:p>
            <w:pPr>
              <w:jc w:val="center"/>
              <w:rPr>
                <w:rFonts w:ascii="仿宋" w:hAnsi="仿宋" w:eastAsia="仿宋"/>
                <w:sz w:val="28"/>
                <w:szCs w:val="28"/>
              </w:rPr>
            </w:pPr>
            <w:r>
              <w:rPr>
                <w:rFonts w:hint="eastAsia" w:ascii="仿宋" w:hAnsi="仿宋" w:eastAsia="仿宋"/>
                <w:sz w:val="28"/>
                <w:szCs w:val="28"/>
              </w:rPr>
              <w:t>文化程度</w:t>
            </w:r>
          </w:p>
        </w:tc>
        <w:tc>
          <w:tcPr>
            <w:tcW w:w="844" w:type="dxa"/>
            <w:gridSpan w:val="2"/>
            <w:noWrap/>
            <w:vAlign w:val="center"/>
          </w:tcPr>
          <w:p>
            <w:pPr>
              <w:jc w:val="center"/>
              <w:rPr>
                <w:rFonts w:ascii="仿宋" w:hAnsi="仿宋" w:eastAsia="仿宋"/>
                <w:sz w:val="28"/>
                <w:szCs w:val="28"/>
              </w:rPr>
            </w:pPr>
          </w:p>
        </w:tc>
        <w:tc>
          <w:tcPr>
            <w:tcW w:w="1428" w:type="dxa"/>
            <w:gridSpan w:val="5"/>
            <w:noWrap/>
            <w:vAlign w:val="center"/>
          </w:tcPr>
          <w:p>
            <w:pPr>
              <w:jc w:val="center"/>
              <w:rPr>
                <w:rFonts w:ascii="仿宋" w:hAnsi="仿宋" w:eastAsia="仿宋"/>
                <w:sz w:val="28"/>
                <w:szCs w:val="28"/>
              </w:rPr>
            </w:pPr>
            <w:r>
              <w:rPr>
                <w:rFonts w:hint="eastAsia" w:ascii="仿宋" w:hAnsi="仿宋" w:eastAsia="仿宋"/>
                <w:sz w:val="28"/>
                <w:szCs w:val="28"/>
              </w:rPr>
              <w:t>婚姻状况</w:t>
            </w:r>
          </w:p>
        </w:tc>
        <w:tc>
          <w:tcPr>
            <w:tcW w:w="935" w:type="dxa"/>
            <w:gridSpan w:val="2"/>
            <w:noWrap/>
            <w:vAlign w:val="center"/>
          </w:tcPr>
          <w:p>
            <w:pPr>
              <w:jc w:val="center"/>
              <w:rPr>
                <w:rFonts w:ascii="仿宋" w:hAnsi="仿宋" w:eastAsia="仿宋"/>
                <w:sz w:val="28"/>
                <w:szCs w:val="28"/>
              </w:rPr>
            </w:pPr>
          </w:p>
        </w:tc>
        <w:tc>
          <w:tcPr>
            <w:tcW w:w="1440" w:type="dxa"/>
            <w:gridSpan w:val="6"/>
            <w:noWrap/>
            <w:vAlign w:val="center"/>
          </w:tcPr>
          <w:p>
            <w:pPr>
              <w:jc w:val="center"/>
              <w:rPr>
                <w:rFonts w:ascii="仿宋" w:hAnsi="仿宋" w:eastAsia="仿宋"/>
                <w:sz w:val="28"/>
                <w:szCs w:val="28"/>
              </w:rPr>
            </w:pPr>
            <w:r>
              <w:rPr>
                <w:rFonts w:hint="eastAsia" w:ascii="仿宋" w:hAnsi="仿宋" w:eastAsia="仿宋"/>
                <w:sz w:val="28"/>
                <w:szCs w:val="28"/>
              </w:rPr>
              <w:t>残疾类别</w:t>
            </w:r>
          </w:p>
        </w:tc>
        <w:tc>
          <w:tcPr>
            <w:tcW w:w="900" w:type="dxa"/>
            <w:gridSpan w:val="3"/>
            <w:noWrap/>
            <w:vAlign w:val="center"/>
          </w:tcPr>
          <w:p>
            <w:pPr>
              <w:jc w:val="center"/>
              <w:rPr>
                <w:rFonts w:ascii="仿宋" w:hAnsi="仿宋" w:eastAsia="仿宋"/>
                <w:sz w:val="28"/>
                <w:szCs w:val="28"/>
              </w:rPr>
            </w:pPr>
          </w:p>
        </w:tc>
        <w:tc>
          <w:tcPr>
            <w:tcW w:w="985" w:type="dxa"/>
            <w:gridSpan w:val="4"/>
            <w:noWrap/>
            <w:vAlign w:val="center"/>
          </w:tcPr>
          <w:p>
            <w:pPr>
              <w:jc w:val="center"/>
              <w:rPr>
                <w:rFonts w:ascii="仿宋" w:hAnsi="仿宋" w:eastAsia="仿宋"/>
                <w:sz w:val="28"/>
                <w:szCs w:val="28"/>
              </w:rPr>
            </w:pPr>
            <w:r>
              <w:rPr>
                <w:rFonts w:hint="eastAsia" w:ascii="仿宋" w:hAnsi="仿宋" w:eastAsia="仿宋"/>
                <w:sz w:val="28"/>
                <w:szCs w:val="28"/>
              </w:rPr>
              <w:t>残疾等级</w:t>
            </w:r>
          </w:p>
        </w:tc>
        <w:tc>
          <w:tcPr>
            <w:tcW w:w="851" w:type="dxa"/>
            <w:gridSpan w:val="2"/>
            <w:noWrap/>
            <w:vAlign w:val="center"/>
          </w:tcPr>
          <w:p>
            <w:pPr>
              <w:jc w:val="center"/>
              <w:rPr>
                <w:rFonts w:ascii="仿宋" w:hAnsi="仿宋" w:eastAsia="仿宋"/>
                <w:sz w:val="28"/>
                <w:szCs w:val="28"/>
              </w:rPr>
            </w:pPr>
          </w:p>
        </w:tc>
        <w:tc>
          <w:tcPr>
            <w:tcW w:w="1764" w:type="dxa"/>
            <w:gridSpan w:val="3"/>
            <w:vMerge w:val="continue"/>
            <w:noWrap/>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 w:hRule="atLeast"/>
        </w:trPr>
        <w:tc>
          <w:tcPr>
            <w:tcW w:w="1293" w:type="dxa"/>
            <w:gridSpan w:val="2"/>
            <w:noWrap/>
            <w:vAlign w:val="center"/>
          </w:tcPr>
          <w:p>
            <w:pPr>
              <w:jc w:val="center"/>
              <w:rPr>
                <w:rFonts w:ascii="仿宋" w:hAnsi="仿宋" w:eastAsia="仿宋"/>
                <w:sz w:val="28"/>
                <w:szCs w:val="28"/>
              </w:rPr>
            </w:pPr>
            <w:r>
              <w:rPr>
                <w:rFonts w:hint="eastAsia" w:ascii="仿宋" w:hAnsi="仿宋" w:eastAsia="仿宋"/>
                <w:sz w:val="28"/>
                <w:szCs w:val="28"/>
              </w:rPr>
              <w:t>身份证号</w:t>
            </w:r>
          </w:p>
        </w:tc>
        <w:tc>
          <w:tcPr>
            <w:tcW w:w="3207" w:type="dxa"/>
            <w:gridSpan w:val="9"/>
            <w:noWrap/>
            <w:vAlign w:val="center"/>
          </w:tcPr>
          <w:p>
            <w:pPr>
              <w:jc w:val="center"/>
              <w:rPr>
                <w:rFonts w:ascii="仿宋" w:hAnsi="仿宋" w:eastAsia="仿宋"/>
                <w:sz w:val="28"/>
                <w:szCs w:val="28"/>
              </w:rPr>
            </w:pPr>
          </w:p>
        </w:tc>
        <w:tc>
          <w:tcPr>
            <w:tcW w:w="1440" w:type="dxa"/>
            <w:gridSpan w:val="6"/>
            <w:noWrap/>
            <w:vAlign w:val="center"/>
          </w:tcPr>
          <w:p>
            <w:pPr>
              <w:jc w:val="center"/>
              <w:rPr>
                <w:rFonts w:ascii="仿宋" w:hAnsi="仿宋" w:eastAsia="仿宋"/>
                <w:sz w:val="28"/>
                <w:szCs w:val="28"/>
              </w:rPr>
            </w:pPr>
            <w:r>
              <w:rPr>
                <w:rFonts w:hint="eastAsia" w:ascii="仿宋" w:hAnsi="仿宋" w:eastAsia="仿宋"/>
                <w:sz w:val="28"/>
                <w:szCs w:val="28"/>
              </w:rPr>
              <w:t>残疾证号</w:t>
            </w:r>
          </w:p>
        </w:tc>
        <w:tc>
          <w:tcPr>
            <w:tcW w:w="2736" w:type="dxa"/>
            <w:gridSpan w:val="9"/>
            <w:noWrap/>
            <w:vAlign w:val="center"/>
          </w:tcPr>
          <w:p>
            <w:pPr>
              <w:jc w:val="center"/>
              <w:rPr>
                <w:rFonts w:ascii="仿宋" w:hAnsi="仿宋" w:eastAsia="仿宋"/>
                <w:sz w:val="28"/>
                <w:szCs w:val="28"/>
              </w:rPr>
            </w:pPr>
          </w:p>
        </w:tc>
        <w:tc>
          <w:tcPr>
            <w:tcW w:w="1764" w:type="dxa"/>
            <w:gridSpan w:val="3"/>
            <w:vMerge w:val="continue"/>
            <w:noWrap/>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93" w:type="dxa"/>
            <w:gridSpan w:val="2"/>
            <w:noWrap/>
            <w:vAlign w:val="center"/>
          </w:tcPr>
          <w:p>
            <w:pPr>
              <w:jc w:val="center"/>
              <w:rPr>
                <w:rFonts w:ascii="仿宋" w:hAnsi="仿宋" w:eastAsia="仿宋"/>
                <w:sz w:val="28"/>
                <w:szCs w:val="28"/>
              </w:rPr>
            </w:pPr>
            <w:r>
              <w:rPr>
                <w:rFonts w:hint="eastAsia" w:ascii="仿宋" w:hAnsi="仿宋" w:eastAsia="仿宋"/>
                <w:sz w:val="28"/>
                <w:szCs w:val="28"/>
              </w:rPr>
              <w:t>户籍地</w:t>
            </w:r>
          </w:p>
        </w:tc>
        <w:tc>
          <w:tcPr>
            <w:tcW w:w="3207" w:type="dxa"/>
            <w:gridSpan w:val="9"/>
            <w:noWrap/>
            <w:vAlign w:val="center"/>
          </w:tcPr>
          <w:p>
            <w:pPr>
              <w:rPr>
                <w:rFonts w:ascii="仿宋" w:hAnsi="仿宋" w:eastAsia="仿宋"/>
                <w:sz w:val="28"/>
                <w:szCs w:val="28"/>
              </w:rPr>
            </w:pPr>
            <w:r>
              <w:rPr>
                <w:rFonts w:hint="eastAsia" w:ascii="仿宋" w:hAnsi="仿宋" w:eastAsia="仿宋"/>
                <w:sz w:val="28"/>
                <w:szCs w:val="28"/>
              </w:rPr>
              <w:t xml:space="preserve">       区        派出所</w:t>
            </w:r>
          </w:p>
        </w:tc>
        <w:tc>
          <w:tcPr>
            <w:tcW w:w="1440" w:type="dxa"/>
            <w:gridSpan w:val="6"/>
            <w:noWrap/>
            <w:vAlign w:val="center"/>
          </w:tcPr>
          <w:p>
            <w:pPr>
              <w:jc w:val="center"/>
              <w:rPr>
                <w:rFonts w:ascii="仿宋" w:hAnsi="仿宋" w:eastAsia="仿宋"/>
                <w:sz w:val="28"/>
                <w:szCs w:val="28"/>
              </w:rPr>
            </w:pPr>
            <w:r>
              <w:rPr>
                <w:rFonts w:hint="eastAsia" w:ascii="仿宋" w:hAnsi="仿宋" w:eastAsia="仿宋"/>
                <w:sz w:val="28"/>
                <w:szCs w:val="28"/>
              </w:rPr>
              <w:t>家庭地址</w:t>
            </w:r>
          </w:p>
        </w:tc>
        <w:tc>
          <w:tcPr>
            <w:tcW w:w="4500" w:type="dxa"/>
            <w:gridSpan w:val="12"/>
            <w:noWrap/>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293" w:type="dxa"/>
            <w:gridSpan w:val="2"/>
            <w:noWrap/>
            <w:vAlign w:val="center"/>
          </w:tcPr>
          <w:p>
            <w:pPr>
              <w:jc w:val="center"/>
              <w:rPr>
                <w:rFonts w:ascii="仿宋" w:hAnsi="仿宋" w:eastAsia="仿宋"/>
                <w:sz w:val="28"/>
                <w:szCs w:val="28"/>
              </w:rPr>
            </w:pPr>
            <w:r>
              <w:rPr>
                <w:rFonts w:hint="eastAsia" w:ascii="仿宋" w:hAnsi="仿宋" w:eastAsia="仿宋"/>
                <w:sz w:val="28"/>
                <w:szCs w:val="28"/>
              </w:rPr>
              <w:t>监护人</w:t>
            </w:r>
          </w:p>
        </w:tc>
        <w:tc>
          <w:tcPr>
            <w:tcW w:w="1407" w:type="dxa"/>
            <w:gridSpan w:val="4"/>
            <w:noWrap/>
            <w:vAlign w:val="center"/>
          </w:tcPr>
          <w:p>
            <w:pPr>
              <w:jc w:val="center"/>
              <w:rPr>
                <w:rFonts w:ascii="仿宋" w:hAnsi="仿宋" w:eastAsia="仿宋"/>
                <w:sz w:val="28"/>
                <w:szCs w:val="28"/>
              </w:rPr>
            </w:pPr>
          </w:p>
        </w:tc>
        <w:tc>
          <w:tcPr>
            <w:tcW w:w="1409" w:type="dxa"/>
            <w:gridSpan w:val="4"/>
            <w:noWrap/>
            <w:vAlign w:val="center"/>
          </w:tcPr>
          <w:p>
            <w:pPr>
              <w:jc w:val="center"/>
              <w:rPr>
                <w:rFonts w:ascii="仿宋" w:hAnsi="仿宋" w:eastAsia="仿宋"/>
                <w:sz w:val="28"/>
                <w:szCs w:val="28"/>
              </w:rPr>
            </w:pPr>
            <w:r>
              <w:rPr>
                <w:rFonts w:hint="eastAsia" w:ascii="仿宋" w:hAnsi="仿宋" w:eastAsia="仿宋"/>
                <w:sz w:val="28"/>
                <w:szCs w:val="28"/>
              </w:rPr>
              <w:t>联系电话</w:t>
            </w:r>
          </w:p>
        </w:tc>
        <w:tc>
          <w:tcPr>
            <w:tcW w:w="2115" w:type="dxa"/>
            <w:gridSpan w:val="8"/>
            <w:noWrap/>
            <w:vAlign w:val="center"/>
          </w:tcPr>
          <w:p>
            <w:pPr>
              <w:jc w:val="center"/>
              <w:rPr>
                <w:rFonts w:ascii="仿宋" w:hAnsi="仿宋" w:eastAsia="仿宋"/>
                <w:sz w:val="28"/>
                <w:szCs w:val="28"/>
              </w:rPr>
            </w:pPr>
          </w:p>
        </w:tc>
        <w:tc>
          <w:tcPr>
            <w:tcW w:w="1601" w:type="dxa"/>
            <w:gridSpan w:val="6"/>
            <w:noWrap/>
            <w:vAlign w:val="center"/>
          </w:tcPr>
          <w:p>
            <w:pPr>
              <w:jc w:val="center"/>
              <w:rPr>
                <w:rFonts w:ascii="仿宋" w:hAnsi="仿宋" w:eastAsia="仿宋"/>
                <w:sz w:val="28"/>
                <w:szCs w:val="28"/>
              </w:rPr>
            </w:pPr>
            <w:r>
              <w:rPr>
                <w:rFonts w:hint="eastAsia" w:ascii="仿宋" w:hAnsi="仿宋" w:eastAsia="仿宋"/>
                <w:sz w:val="28"/>
                <w:szCs w:val="28"/>
              </w:rPr>
              <w:t>家庭经济状况</w:t>
            </w:r>
          </w:p>
        </w:tc>
        <w:tc>
          <w:tcPr>
            <w:tcW w:w="2615" w:type="dxa"/>
            <w:gridSpan w:val="5"/>
            <w:noWrap/>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591" w:type="dxa"/>
            <w:vMerge w:val="restart"/>
            <w:noWrap/>
            <w:vAlign w:val="center"/>
          </w:tcPr>
          <w:p>
            <w:pPr>
              <w:jc w:val="center"/>
              <w:rPr>
                <w:rFonts w:ascii="仿宋" w:hAnsi="仿宋" w:eastAsia="仿宋"/>
                <w:sz w:val="28"/>
                <w:szCs w:val="28"/>
              </w:rPr>
            </w:pPr>
            <w:r>
              <w:rPr>
                <w:rFonts w:hint="eastAsia" w:ascii="仿宋" w:hAnsi="仿宋" w:eastAsia="仿宋"/>
                <w:sz w:val="28"/>
                <w:szCs w:val="28"/>
              </w:rPr>
              <w:t>简</w:t>
            </w:r>
          </w:p>
          <w:p>
            <w:pPr>
              <w:jc w:val="center"/>
              <w:rPr>
                <w:rFonts w:ascii="仿宋" w:hAnsi="仿宋" w:eastAsia="仿宋"/>
                <w:sz w:val="28"/>
                <w:szCs w:val="28"/>
              </w:rPr>
            </w:pPr>
          </w:p>
          <w:p>
            <w:pPr>
              <w:jc w:val="center"/>
              <w:rPr>
                <w:rFonts w:ascii="仿宋" w:hAnsi="仿宋" w:eastAsia="仿宋"/>
                <w:sz w:val="28"/>
                <w:szCs w:val="28"/>
              </w:rPr>
            </w:pPr>
            <w:r>
              <w:rPr>
                <w:rFonts w:hint="eastAsia" w:ascii="仿宋" w:hAnsi="仿宋" w:eastAsia="仿宋"/>
                <w:sz w:val="28"/>
                <w:szCs w:val="28"/>
              </w:rPr>
              <w:t>历</w:t>
            </w:r>
          </w:p>
        </w:tc>
        <w:tc>
          <w:tcPr>
            <w:tcW w:w="1404" w:type="dxa"/>
            <w:gridSpan w:val="2"/>
            <w:noWrap/>
            <w:vAlign w:val="center"/>
          </w:tcPr>
          <w:p>
            <w:pPr>
              <w:jc w:val="center"/>
              <w:rPr>
                <w:rFonts w:ascii="仿宋" w:hAnsi="仿宋" w:eastAsia="仿宋"/>
                <w:sz w:val="28"/>
                <w:szCs w:val="28"/>
              </w:rPr>
            </w:pPr>
            <w:r>
              <w:rPr>
                <w:rFonts w:hint="eastAsia" w:ascii="仿宋" w:hAnsi="仿宋" w:eastAsia="仿宋"/>
                <w:sz w:val="28"/>
                <w:szCs w:val="28"/>
              </w:rPr>
              <w:t>小学</w:t>
            </w:r>
          </w:p>
        </w:tc>
        <w:tc>
          <w:tcPr>
            <w:tcW w:w="2114" w:type="dxa"/>
            <w:gridSpan w:val="7"/>
            <w:noWrap/>
            <w:vAlign w:val="center"/>
          </w:tcPr>
          <w:p>
            <w:pPr>
              <w:jc w:val="center"/>
              <w:rPr>
                <w:rFonts w:ascii="仿宋" w:hAnsi="仿宋" w:eastAsia="仿宋"/>
                <w:sz w:val="28"/>
                <w:szCs w:val="28"/>
              </w:rPr>
            </w:pPr>
          </w:p>
        </w:tc>
        <w:tc>
          <w:tcPr>
            <w:tcW w:w="1066" w:type="dxa"/>
            <w:gridSpan w:val="4"/>
            <w:noWrap/>
            <w:vAlign w:val="center"/>
          </w:tcPr>
          <w:p>
            <w:pPr>
              <w:jc w:val="center"/>
              <w:rPr>
                <w:rFonts w:ascii="仿宋" w:hAnsi="仿宋" w:eastAsia="仿宋"/>
                <w:sz w:val="28"/>
                <w:szCs w:val="28"/>
              </w:rPr>
            </w:pPr>
            <w:r>
              <w:rPr>
                <w:rFonts w:hint="eastAsia" w:ascii="仿宋" w:hAnsi="仿宋" w:eastAsia="仿宋"/>
                <w:sz w:val="28"/>
                <w:szCs w:val="28"/>
              </w:rPr>
              <w:t>中学</w:t>
            </w:r>
          </w:p>
        </w:tc>
        <w:tc>
          <w:tcPr>
            <w:tcW w:w="1831" w:type="dxa"/>
            <w:gridSpan w:val="7"/>
            <w:noWrap/>
            <w:vAlign w:val="center"/>
          </w:tcPr>
          <w:p>
            <w:pPr>
              <w:jc w:val="center"/>
              <w:rPr>
                <w:rFonts w:ascii="仿宋" w:hAnsi="仿宋" w:eastAsia="仿宋"/>
                <w:sz w:val="28"/>
                <w:szCs w:val="28"/>
              </w:rPr>
            </w:pPr>
          </w:p>
        </w:tc>
        <w:tc>
          <w:tcPr>
            <w:tcW w:w="819" w:type="dxa"/>
            <w:gridSpan w:val="3"/>
            <w:noWrap/>
            <w:vAlign w:val="center"/>
          </w:tcPr>
          <w:p>
            <w:pPr>
              <w:jc w:val="center"/>
              <w:rPr>
                <w:rFonts w:ascii="仿宋" w:hAnsi="仿宋" w:eastAsia="仿宋"/>
                <w:sz w:val="28"/>
                <w:szCs w:val="28"/>
              </w:rPr>
            </w:pPr>
            <w:r>
              <w:rPr>
                <w:rFonts w:hint="eastAsia" w:ascii="仿宋" w:hAnsi="仿宋" w:eastAsia="仿宋"/>
                <w:sz w:val="28"/>
                <w:szCs w:val="28"/>
              </w:rPr>
              <w:t>大学</w:t>
            </w:r>
          </w:p>
        </w:tc>
        <w:tc>
          <w:tcPr>
            <w:tcW w:w="2615" w:type="dxa"/>
            <w:gridSpan w:val="5"/>
            <w:noWrap/>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591" w:type="dxa"/>
            <w:vMerge w:val="continue"/>
            <w:noWrap/>
            <w:vAlign w:val="center"/>
          </w:tcPr>
          <w:p>
            <w:pPr>
              <w:jc w:val="center"/>
              <w:rPr>
                <w:rFonts w:ascii="仿宋" w:hAnsi="仿宋" w:eastAsia="仿宋"/>
                <w:sz w:val="28"/>
                <w:szCs w:val="28"/>
              </w:rPr>
            </w:pPr>
          </w:p>
        </w:tc>
        <w:tc>
          <w:tcPr>
            <w:tcW w:w="1404" w:type="dxa"/>
            <w:gridSpan w:val="2"/>
            <w:vMerge w:val="restart"/>
            <w:noWrap/>
            <w:vAlign w:val="center"/>
          </w:tcPr>
          <w:p>
            <w:pPr>
              <w:jc w:val="center"/>
              <w:rPr>
                <w:rFonts w:ascii="仿宋" w:hAnsi="仿宋" w:eastAsia="仿宋"/>
                <w:sz w:val="28"/>
                <w:szCs w:val="28"/>
              </w:rPr>
            </w:pPr>
            <w:r>
              <w:rPr>
                <w:rFonts w:hint="eastAsia" w:ascii="仿宋" w:hAnsi="仿宋" w:eastAsia="仿宋"/>
                <w:sz w:val="28"/>
                <w:szCs w:val="28"/>
              </w:rPr>
              <w:t>工作</w:t>
            </w:r>
          </w:p>
          <w:p>
            <w:pPr>
              <w:jc w:val="center"/>
              <w:rPr>
                <w:rFonts w:ascii="仿宋" w:hAnsi="仿宋" w:eastAsia="仿宋"/>
                <w:sz w:val="28"/>
                <w:szCs w:val="28"/>
              </w:rPr>
            </w:pPr>
            <w:r>
              <w:rPr>
                <w:rFonts w:hint="eastAsia" w:ascii="仿宋" w:hAnsi="仿宋" w:eastAsia="仿宋"/>
                <w:sz w:val="28"/>
                <w:szCs w:val="28"/>
              </w:rPr>
              <w:t>经历</w:t>
            </w:r>
          </w:p>
        </w:tc>
        <w:tc>
          <w:tcPr>
            <w:tcW w:w="4229" w:type="dxa"/>
            <w:gridSpan w:val="15"/>
            <w:noWrap/>
            <w:vAlign w:val="center"/>
          </w:tcPr>
          <w:p>
            <w:pPr>
              <w:rPr>
                <w:rFonts w:ascii="仿宋" w:hAnsi="仿宋" w:eastAsia="仿宋"/>
                <w:sz w:val="28"/>
                <w:szCs w:val="28"/>
              </w:rPr>
            </w:pPr>
            <w:r>
              <w:rPr>
                <w:rFonts w:hint="eastAsia" w:ascii="仿宋" w:hAnsi="仿宋" w:eastAsia="仿宋"/>
                <w:sz w:val="28"/>
                <w:szCs w:val="28"/>
              </w:rPr>
              <w:t>1、</w:t>
            </w:r>
          </w:p>
        </w:tc>
        <w:tc>
          <w:tcPr>
            <w:tcW w:w="4216" w:type="dxa"/>
            <w:gridSpan w:val="11"/>
            <w:noWrap/>
            <w:vAlign w:val="center"/>
          </w:tcPr>
          <w:p>
            <w:pPr>
              <w:rPr>
                <w:rFonts w:ascii="仿宋" w:hAnsi="仿宋" w:eastAsia="仿宋"/>
                <w:sz w:val="28"/>
                <w:szCs w:val="28"/>
              </w:rPr>
            </w:pPr>
            <w:r>
              <w:rPr>
                <w:rFonts w:hint="eastAsia" w:ascii="仿宋" w:hAnsi="仿宋" w:eastAsia="仿宋"/>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591" w:type="dxa"/>
            <w:vMerge w:val="continue"/>
            <w:noWrap/>
            <w:vAlign w:val="center"/>
          </w:tcPr>
          <w:p>
            <w:pPr>
              <w:jc w:val="center"/>
              <w:rPr>
                <w:rFonts w:ascii="仿宋" w:hAnsi="仿宋" w:eastAsia="仿宋"/>
                <w:sz w:val="28"/>
                <w:szCs w:val="28"/>
              </w:rPr>
            </w:pPr>
          </w:p>
        </w:tc>
        <w:tc>
          <w:tcPr>
            <w:tcW w:w="1404" w:type="dxa"/>
            <w:gridSpan w:val="2"/>
            <w:vMerge w:val="continue"/>
            <w:noWrap/>
            <w:vAlign w:val="center"/>
          </w:tcPr>
          <w:p>
            <w:pPr>
              <w:jc w:val="center"/>
              <w:rPr>
                <w:rFonts w:ascii="仿宋" w:hAnsi="仿宋" w:eastAsia="仿宋"/>
                <w:sz w:val="28"/>
                <w:szCs w:val="28"/>
              </w:rPr>
            </w:pPr>
          </w:p>
        </w:tc>
        <w:tc>
          <w:tcPr>
            <w:tcW w:w="4229" w:type="dxa"/>
            <w:gridSpan w:val="15"/>
            <w:noWrap/>
            <w:vAlign w:val="center"/>
          </w:tcPr>
          <w:p>
            <w:pPr>
              <w:rPr>
                <w:rFonts w:ascii="仿宋" w:hAnsi="仿宋" w:eastAsia="仿宋"/>
                <w:sz w:val="28"/>
                <w:szCs w:val="28"/>
              </w:rPr>
            </w:pPr>
            <w:r>
              <w:rPr>
                <w:rFonts w:hint="eastAsia" w:ascii="仿宋" w:hAnsi="仿宋" w:eastAsia="仿宋"/>
                <w:sz w:val="28"/>
                <w:szCs w:val="28"/>
              </w:rPr>
              <w:t>2、</w:t>
            </w:r>
          </w:p>
        </w:tc>
        <w:tc>
          <w:tcPr>
            <w:tcW w:w="4216" w:type="dxa"/>
            <w:gridSpan w:val="11"/>
            <w:noWrap/>
            <w:vAlign w:val="center"/>
          </w:tcPr>
          <w:p>
            <w:pPr>
              <w:rPr>
                <w:rFonts w:ascii="仿宋" w:hAnsi="仿宋" w:eastAsia="仿宋"/>
                <w:sz w:val="28"/>
                <w:szCs w:val="28"/>
              </w:rPr>
            </w:pPr>
            <w:r>
              <w:rPr>
                <w:rFonts w:hint="eastAsia" w:ascii="仿宋" w:hAnsi="仿宋" w:eastAsia="仿宋"/>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591" w:type="dxa"/>
            <w:vMerge w:val="restart"/>
            <w:noWrap/>
            <w:vAlign w:val="center"/>
          </w:tcPr>
          <w:p>
            <w:pPr>
              <w:jc w:val="center"/>
              <w:rPr>
                <w:rFonts w:ascii="仿宋" w:hAnsi="仿宋" w:eastAsia="仿宋"/>
                <w:sz w:val="28"/>
                <w:szCs w:val="28"/>
              </w:rPr>
            </w:pPr>
            <w:r>
              <w:rPr>
                <w:rFonts w:hint="eastAsia" w:ascii="仿宋" w:hAnsi="仿宋" w:eastAsia="仿宋"/>
                <w:sz w:val="28"/>
                <w:szCs w:val="28"/>
              </w:rPr>
              <w:t>健</w:t>
            </w:r>
          </w:p>
          <w:p>
            <w:pPr>
              <w:jc w:val="center"/>
              <w:rPr>
                <w:rFonts w:ascii="仿宋" w:hAnsi="仿宋" w:eastAsia="仿宋"/>
                <w:sz w:val="28"/>
                <w:szCs w:val="28"/>
              </w:rPr>
            </w:pPr>
          </w:p>
          <w:p>
            <w:pPr>
              <w:jc w:val="center"/>
              <w:rPr>
                <w:rFonts w:ascii="仿宋" w:hAnsi="仿宋" w:eastAsia="仿宋"/>
                <w:sz w:val="28"/>
                <w:szCs w:val="28"/>
              </w:rPr>
            </w:pPr>
            <w:r>
              <w:rPr>
                <w:rFonts w:hint="eastAsia" w:ascii="仿宋" w:hAnsi="仿宋" w:eastAsia="仿宋"/>
                <w:sz w:val="28"/>
                <w:szCs w:val="28"/>
              </w:rPr>
              <w:t>康</w:t>
            </w:r>
          </w:p>
          <w:p>
            <w:pPr>
              <w:jc w:val="center"/>
              <w:rPr>
                <w:rFonts w:ascii="仿宋" w:hAnsi="仿宋" w:eastAsia="仿宋"/>
                <w:sz w:val="28"/>
                <w:szCs w:val="28"/>
              </w:rPr>
            </w:pPr>
          </w:p>
          <w:p>
            <w:pPr>
              <w:jc w:val="center"/>
              <w:rPr>
                <w:rFonts w:ascii="仿宋" w:hAnsi="仿宋" w:eastAsia="仿宋"/>
                <w:sz w:val="28"/>
                <w:szCs w:val="28"/>
              </w:rPr>
            </w:pPr>
            <w:r>
              <w:rPr>
                <w:rFonts w:hint="eastAsia" w:ascii="仿宋" w:hAnsi="仿宋" w:eastAsia="仿宋"/>
                <w:sz w:val="28"/>
                <w:szCs w:val="28"/>
              </w:rPr>
              <w:t>状</w:t>
            </w:r>
          </w:p>
          <w:p>
            <w:pPr>
              <w:jc w:val="center"/>
              <w:rPr>
                <w:rFonts w:ascii="仿宋" w:hAnsi="仿宋" w:eastAsia="仿宋"/>
                <w:sz w:val="28"/>
                <w:szCs w:val="28"/>
              </w:rPr>
            </w:pPr>
          </w:p>
          <w:p>
            <w:pPr>
              <w:jc w:val="center"/>
              <w:rPr>
                <w:rFonts w:ascii="仿宋" w:hAnsi="仿宋" w:eastAsia="仿宋"/>
                <w:sz w:val="28"/>
                <w:szCs w:val="28"/>
              </w:rPr>
            </w:pPr>
            <w:r>
              <w:rPr>
                <w:rFonts w:hint="eastAsia" w:ascii="仿宋" w:hAnsi="仿宋" w:eastAsia="仿宋"/>
                <w:sz w:val="28"/>
                <w:szCs w:val="28"/>
              </w:rPr>
              <w:t>况</w:t>
            </w:r>
          </w:p>
        </w:tc>
        <w:tc>
          <w:tcPr>
            <w:tcW w:w="1404" w:type="dxa"/>
            <w:gridSpan w:val="2"/>
            <w:noWrap/>
            <w:vAlign w:val="center"/>
          </w:tcPr>
          <w:p>
            <w:pPr>
              <w:jc w:val="center"/>
              <w:rPr>
                <w:rFonts w:ascii="仿宋" w:hAnsi="仿宋" w:eastAsia="仿宋"/>
                <w:sz w:val="28"/>
                <w:szCs w:val="28"/>
              </w:rPr>
            </w:pPr>
            <w:r>
              <w:rPr>
                <w:rFonts w:hint="eastAsia" w:ascii="仿宋" w:hAnsi="仿宋" w:eastAsia="仿宋"/>
                <w:sz w:val="28"/>
                <w:szCs w:val="28"/>
              </w:rPr>
              <w:t>身高</w:t>
            </w:r>
          </w:p>
        </w:tc>
        <w:tc>
          <w:tcPr>
            <w:tcW w:w="1407" w:type="dxa"/>
            <w:gridSpan w:val="5"/>
            <w:noWrap/>
            <w:vAlign w:val="center"/>
          </w:tcPr>
          <w:p>
            <w:pPr>
              <w:jc w:val="center"/>
              <w:rPr>
                <w:rFonts w:ascii="仿宋" w:hAnsi="仿宋" w:eastAsia="仿宋"/>
                <w:sz w:val="28"/>
                <w:szCs w:val="28"/>
              </w:rPr>
            </w:pPr>
            <w:r>
              <w:rPr>
                <w:rFonts w:hint="eastAsia" w:ascii="仿宋" w:hAnsi="仿宋" w:eastAsia="仿宋"/>
                <w:sz w:val="28"/>
                <w:szCs w:val="28"/>
              </w:rPr>
              <w:t xml:space="preserve">       cm</w:t>
            </w:r>
          </w:p>
        </w:tc>
        <w:tc>
          <w:tcPr>
            <w:tcW w:w="1409" w:type="dxa"/>
            <w:gridSpan w:val="4"/>
            <w:noWrap/>
            <w:vAlign w:val="center"/>
          </w:tcPr>
          <w:p>
            <w:pPr>
              <w:jc w:val="center"/>
              <w:rPr>
                <w:rFonts w:ascii="仿宋" w:hAnsi="仿宋" w:eastAsia="仿宋"/>
                <w:sz w:val="28"/>
                <w:szCs w:val="28"/>
              </w:rPr>
            </w:pPr>
            <w:r>
              <w:rPr>
                <w:rFonts w:hint="eastAsia" w:ascii="仿宋" w:hAnsi="仿宋" w:eastAsia="仿宋"/>
                <w:sz w:val="28"/>
                <w:szCs w:val="28"/>
              </w:rPr>
              <w:t>体重</w:t>
            </w:r>
          </w:p>
        </w:tc>
        <w:tc>
          <w:tcPr>
            <w:tcW w:w="1129" w:type="dxa"/>
            <w:gridSpan w:val="5"/>
            <w:noWrap/>
            <w:vAlign w:val="center"/>
          </w:tcPr>
          <w:p>
            <w:pPr>
              <w:jc w:val="center"/>
              <w:rPr>
                <w:rFonts w:ascii="仿宋" w:hAnsi="仿宋" w:eastAsia="仿宋"/>
                <w:sz w:val="28"/>
                <w:szCs w:val="28"/>
              </w:rPr>
            </w:pPr>
            <w:r>
              <w:rPr>
                <w:rFonts w:hint="eastAsia" w:ascii="仿宋" w:hAnsi="仿宋" w:eastAsia="仿宋"/>
                <w:sz w:val="28"/>
                <w:szCs w:val="28"/>
              </w:rPr>
              <w:t xml:space="preserve">     kg</w:t>
            </w:r>
          </w:p>
        </w:tc>
        <w:tc>
          <w:tcPr>
            <w:tcW w:w="1978" w:type="dxa"/>
            <w:gridSpan w:val="8"/>
            <w:noWrap/>
            <w:vAlign w:val="center"/>
          </w:tcPr>
          <w:p>
            <w:pPr>
              <w:jc w:val="center"/>
              <w:rPr>
                <w:rFonts w:ascii="仿宋" w:hAnsi="仿宋" w:eastAsia="仿宋"/>
                <w:sz w:val="28"/>
                <w:szCs w:val="28"/>
              </w:rPr>
            </w:pPr>
            <w:r>
              <w:rPr>
                <w:rFonts w:hint="eastAsia" w:ascii="仿宋" w:hAnsi="仿宋" w:eastAsia="仿宋"/>
                <w:sz w:val="28"/>
                <w:szCs w:val="28"/>
              </w:rPr>
              <w:t>有何特殊爱好</w:t>
            </w:r>
          </w:p>
        </w:tc>
        <w:tc>
          <w:tcPr>
            <w:tcW w:w="2522" w:type="dxa"/>
            <w:gridSpan w:val="4"/>
            <w:noWrap/>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591" w:type="dxa"/>
            <w:vMerge w:val="continue"/>
            <w:noWrap/>
            <w:vAlign w:val="center"/>
          </w:tcPr>
          <w:p>
            <w:pPr>
              <w:jc w:val="center"/>
              <w:rPr>
                <w:rFonts w:ascii="仿宋" w:hAnsi="仿宋" w:eastAsia="仿宋"/>
                <w:sz w:val="28"/>
                <w:szCs w:val="28"/>
              </w:rPr>
            </w:pPr>
          </w:p>
        </w:tc>
        <w:tc>
          <w:tcPr>
            <w:tcW w:w="2109" w:type="dxa"/>
            <w:gridSpan w:val="5"/>
            <w:noWrap/>
            <w:vAlign w:val="center"/>
          </w:tcPr>
          <w:p>
            <w:pPr>
              <w:jc w:val="center"/>
              <w:rPr>
                <w:rFonts w:ascii="仿宋" w:hAnsi="仿宋" w:eastAsia="仿宋"/>
                <w:sz w:val="28"/>
                <w:szCs w:val="28"/>
              </w:rPr>
            </w:pPr>
            <w:r>
              <w:rPr>
                <w:rFonts w:hint="eastAsia" w:ascii="仿宋" w:hAnsi="仿宋" w:eastAsia="仿宋"/>
                <w:sz w:val="28"/>
                <w:szCs w:val="28"/>
              </w:rPr>
              <w:t>有何特殊疾病</w:t>
            </w:r>
          </w:p>
        </w:tc>
        <w:tc>
          <w:tcPr>
            <w:tcW w:w="3240" w:type="dxa"/>
            <w:gridSpan w:val="11"/>
            <w:noWrap/>
            <w:vAlign w:val="center"/>
          </w:tcPr>
          <w:p>
            <w:pPr>
              <w:jc w:val="center"/>
              <w:rPr>
                <w:rFonts w:ascii="仿宋" w:hAnsi="仿宋" w:eastAsia="仿宋"/>
                <w:sz w:val="28"/>
                <w:szCs w:val="28"/>
              </w:rPr>
            </w:pPr>
          </w:p>
        </w:tc>
        <w:tc>
          <w:tcPr>
            <w:tcW w:w="1978" w:type="dxa"/>
            <w:gridSpan w:val="8"/>
            <w:noWrap/>
            <w:vAlign w:val="center"/>
          </w:tcPr>
          <w:p>
            <w:pPr>
              <w:jc w:val="center"/>
              <w:rPr>
                <w:rFonts w:ascii="仿宋" w:hAnsi="仿宋" w:eastAsia="仿宋"/>
                <w:sz w:val="28"/>
                <w:szCs w:val="28"/>
              </w:rPr>
            </w:pPr>
            <w:r>
              <w:rPr>
                <w:rFonts w:hint="eastAsia" w:ascii="仿宋" w:hAnsi="仿宋" w:eastAsia="仿宋"/>
                <w:sz w:val="28"/>
                <w:szCs w:val="28"/>
              </w:rPr>
              <w:t>有何慢性病</w:t>
            </w:r>
          </w:p>
        </w:tc>
        <w:tc>
          <w:tcPr>
            <w:tcW w:w="2522" w:type="dxa"/>
            <w:gridSpan w:val="4"/>
            <w:noWrap/>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91" w:type="dxa"/>
            <w:vMerge w:val="continue"/>
            <w:noWrap/>
            <w:vAlign w:val="center"/>
          </w:tcPr>
          <w:p>
            <w:pPr>
              <w:jc w:val="center"/>
              <w:rPr>
                <w:rFonts w:ascii="仿宋" w:hAnsi="仿宋" w:eastAsia="仿宋"/>
                <w:sz w:val="28"/>
                <w:szCs w:val="28"/>
              </w:rPr>
            </w:pPr>
          </w:p>
        </w:tc>
        <w:tc>
          <w:tcPr>
            <w:tcW w:w="2109" w:type="dxa"/>
            <w:gridSpan w:val="5"/>
            <w:noWrap/>
            <w:vAlign w:val="center"/>
          </w:tcPr>
          <w:p>
            <w:pPr>
              <w:jc w:val="center"/>
              <w:rPr>
                <w:rFonts w:ascii="仿宋" w:hAnsi="仿宋" w:eastAsia="仿宋"/>
                <w:sz w:val="28"/>
                <w:szCs w:val="28"/>
              </w:rPr>
            </w:pPr>
            <w:r>
              <w:rPr>
                <w:rFonts w:hint="eastAsia" w:ascii="仿宋" w:hAnsi="仿宋" w:eastAsia="仿宋"/>
                <w:sz w:val="28"/>
                <w:szCs w:val="28"/>
              </w:rPr>
              <w:t>有无过敏记录</w:t>
            </w:r>
          </w:p>
        </w:tc>
        <w:tc>
          <w:tcPr>
            <w:tcW w:w="2111" w:type="dxa"/>
            <w:gridSpan w:val="6"/>
            <w:noWrap/>
            <w:vAlign w:val="center"/>
          </w:tcPr>
          <w:p>
            <w:pPr>
              <w:jc w:val="center"/>
              <w:rPr>
                <w:rFonts w:ascii="仿宋" w:hAnsi="仿宋" w:eastAsia="仿宋"/>
                <w:sz w:val="28"/>
                <w:szCs w:val="28"/>
              </w:rPr>
            </w:pPr>
          </w:p>
        </w:tc>
        <w:tc>
          <w:tcPr>
            <w:tcW w:w="714" w:type="dxa"/>
            <w:gridSpan w:val="4"/>
            <w:noWrap/>
            <w:vAlign w:val="center"/>
          </w:tcPr>
          <w:p>
            <w:pPr>
              <w:jc w:val="center"/>
              <w:rPr>
                <w:rFonts w:ascii="仿宋" w:hAnsi="仿宋" w:eastAsia="仿宋"/>
                <w:sz w:val="28"/>
                <w:szCs w:val="28"/>
              </w:rPr>
            </w:pPr>
            <w:r>
              <w:rPr>
                <w:rFonts w:hint="eastAsia" w:ascii="仿宋" w:hAnsi="仿宋" w:eastAsia="仿宋"/>
                <w:sz w:val="28"/>
                <w:szCs w:val="28"/>
              </w:rPr>
              <w:t>药物</w:t>
            </w:r>
          </w:p>
        </w:tc>
        <w:tc>
          <w:tcPr>
            <w:tcW w:w="956" w:type="dxa"/>
            <w:gridSpan w:val="3"/>
            <w:noWrap/>
            <w:vAlign w:val="center"/>
          </w:tcPr>
          <w:p>
            <w:pPr>
              <w:jc w:val="center"/>
              <w:rPr>
                <w:rFonts w:ascii="仿宋" w:hAnsi="仿宋" w:eastAsia="仿宋"/>
                <w:sz w:val="28"/>
                <w:szCs w:val="28"/>
              </w:rPr>
            </w:pPr>
          </w:p>
        </w:tc>
        <w:tc>
          <w:tcPr>
            <w:tcW w:w="719" w:type="dxa"/>
            <w:gridSpan w:val="3"/>
            <w:noWrap/>
            <w:vAlign w:val="center"/>
          </w:tcPr>
          <w:p>
            <w:pPr>
              <w:jc w:val="center"/>
              <w:rPr>
                <w:rFonts w:ascii="仿宋" w:hAnsi="仿宋" w:eastAsia="仿宋"/>
                <w:sz w:val="28"/>
                <w:szCs w:val="28"/>
              </w:rPr>
            </w:pPr>
            <w:r>
              <w:rPr>
                <w:rFonts w:hint="eastAsia" w:ascii="仿宋" w:hAnsi="仿宋" w:eastAsia="仿宋"/>
                <w:sz w:val="28"/>
                <w:szCs w:val="28"/>
              </w:rPr>
              <w:t>食品</w:t>
            </w:r>
          </w:p>
        </w:tc>
        <w:tc>
          <w:tcPr>
            <w:tcW w:w="625" w:type="dxa"/>
            <w:gridSpan w:val="2"/>
            <w:noWrap/>
            <w:vAlign w:val="center"/>
          </w:tcPr>
          <w:p>
            <w:pPr>
              <w:jc w:val="center"/>
              <w:rPr>
                <w:rFonts w:ascii="仿宋" w:hAnsi="仿宋" w:eastAsia="仿宋"/>
                <w:sz w:val="28"/>
                <w:szCs w:val="28"/>
              </w:rPr>
            </w:pPr>
          </w:p>
        </w:tc>
        <w:tc>
          <w:tcPr>
            <w:tcW w:w="1175" w:type="dxa"/>
            <w:gridSpan w:val="3"/>
            <w:noWrap/>
            <w:vAlign w:val="center"/>
          </w:tcPr>
          <w:p>
            <w:pPr>
              <w:jc w:val="center"/>
              <w:rPr>
                <w:rFonts w:ascii="仿宋" w:hAnsi="仿宋" w:eastAsia="仿宋"/>
                <w:sz w:val="28"/>
                <w:szCs w:val="28"/>
              </w:rPr>
            </w:pPr>
            <w:r>
              <w:rPr>
                <w:rFonts w:hint="eastAsia" w:ascii="仿宋" w:hAnsi="仿宋" w:eastAsia="仿宋"/>
                <w:sz w:val="28"/>
                <w:szCs w:val="28"/>
              </w:rPr>
              <w:t>其他</w:t>
            </w:r>
          </w:p>
        </w:tc>
        <w:tc>
          <w:tcPr>
            <w:tcW w:w="1440" w:type="dxa"/>
            <w:gridSpan w:val="2"/>
            <w:noWrap/>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591" w:type="dxa"/>
            <w:vMerge w:val="continue"/>
            <w:noWrap/>
            <w:vAlign w:val="center"/>
          </w:tcPr>
          <w:p>
            <w:pPr>
              <w:jc w:val="center"/>
              <w:rPr>
                <w:rFonts w:ascii="仿宋" w:hAnsi="仿宋" w:eastAsia="仿宋"/>
                <w:sz w:val="28"/>
                <w:szCs w:val="28"/>
              </w:rPr>
            </w:pPr>
          </w:p>
        </w:tc>
        <w:tc>
          <w:tcPr>
            <w:tcW w:w="2109" w:type="dxa"/>
            <w:gridSpan w:val="5"/>
            <w:noWrap/>
            <w:vAlign w:val="center"/>
          </w:tcPr>
          <w:p>
            <w:pPr>
              <w:jc w:val="center"/>
              <w:rPr>
                <w:rFonts w:ascii="仿宋" w:hAnsi="仿宋" w:eastAsia="仿宋"/>
                <w:sz w:val="28"/>
                <w:szCs w:val="28"/>
              </w:rPr>
            </w:pPr>
            <w:r>
              <w:rPr>
                <w:rFonts w:hint="eastAsia" w:ascii="仿宋" w:hAnsi="仿宋" w:eastAsia="仿宋"/>
                <w:sz w:val="28"/>
                <w:szCs w:val="28"/>
              </w:rPr>
              <w:t>其他说明</w:t>
            </w:r>
          </w:p>
        </w:tc>
        <w:tc>
          <w:tcPr>
            <w:tcW w:w="7740" w:type="dxa"/>
            <w:gridSpan w:val="23"/>
            <w:noWrap/>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591" w:type="dxa"/>
            <w:vMerge w:val="restart"/>
            <w:noWrap/>
            <w:vAlign w:val="center"/>
          </w:tcPr>
          <w:p>
            <w:pPr>
              <w:jc w:val="center"/>
              <w:rPr>
                <w:rFonts w:ascii="仿宋" w:hAnsi="仿宋" w:eastAsia="仿宋"/>
                <w:sz w:val="28"/>
                <w:szCs w:val="28"/>
              </w:rPr>
            </w:pPr>
            <w:r>
              <w:rPr>
                <w:rFonts w:hint="eastAsia" w:ascii="仿宋" w:hAnsi="仿宋" w:eastAsia="仿宋"/>
                <w:sz w:val="28"/>
                <w:szCs w:val="28"/>
              </w:rPr>
              <w:t>社</w:t>
            </w:r>
          </w:p>
          <w:p>
            <w:pPr>
              <w:jc w:val="center"/>
              <w:rPr>
                <w:rFonts w:ascii="仿宋" w:hAnsi="仿宋" w:eastAsia="仿宋"/>
                <w:sz w:val="28"/>
                <w:szCs w:val="28"/>
              </w:rPr>
            </w:pPr>
          </w:p>
          <w:p>
            <w:pPr>
              <w:jc w:val="center"/>
              <w:rPr>
                <w:rFonts w:ascii="仿宋" w:hAnsi="仿宋" w:eastAsia="仿宋"/>
                <w:sz w:val="28"/>
                <w:szCs w:val="28"/>
              </w:rPr>
            </w:pPr>
            <w:r>
              <w:rPr>
                <w:rFonts w:hint="eastAsia" w:ascii="仿宋" w:hAnsi="仿宋" w:eastAsia="仿宋"/>
                <w:sz w:val="28"/>
                <w:szCs w:val="28"/>
              </w:rPr>
              <w:t>会</w:t>
            </w:r>
          </w:p>
          <w:p>
            <w:pPr>
              <w:jc w:val="center"/>
              <w:rPr>
                <w:rFonts w:ascii="仿宋" w:hAnsi="仿宋" w:eastAsia="仿宋"/>
                <w:sz w:val="28"/>
                <w:szCs w:val="28"/>
              </w:rPr>
            </w:pPr>
          </w:p>
          <w:p>
            <w:pPr>
              <w:jc w:val="center"/>
              <w:rPr>
                <w:rFonts w:ascii="仿宋" w:hAnsi="仿宋" w:eastAsia="仿宋"/>
                <w:sz w:val="28"/>
                <w:szCs w:val="28"/>
              </w:rPr>
            </w:pPr>
            <w:r>
              <w:rPr>
                <w:rFonts w:hint="eastAsia" w:ascii="仿宋" w:hAnsi="仿宋" w:eastAsia="仿宋"/>
                <w:sz w:val="28"/>
                <w:szCs w:val="28"/>
              </w:rPr>
              <w:t>适</w:t>
            </w:r>
          </w:p>
          <w:p>
            <w:pPr>
              <w:jc w:val="center"/>
              <w:rPr>
                <w:rFonts w:ascii="仿宋" w:hAnsi="仿宋" w:eastAsia="仿宋"/>
                <w:sz w:val="28"/>
                <w:szCs w:val="28"/>
              </w:rPr>
            </w:pPr>
          </w:p>
          <w:p>
            <w:pPr>
              <w:jc w:val="center"/>
              <w:rPr>
                <w:rFonts w:ascii="仿宋" w:hAnsi="仿宋" w:eastAsia="仿宋"/>
                <w:sz w:val="28"/>
                <w:szCs w:val="28"/>
              </w:rPr>
            </w:pPr>
            <w:r>
              <w:rPr>
                <w:rFonts w:hint="eastAsia" w:ascii="仿宋" w:hAnsi="仿宋" w:eastAsia="仿宋"/>
                <w:sz w:val="28"/>
                <w:szCs w:val="28"/>
              </w:rPr>
              <w:t>应</w:t>
            </w:r>
          </w:p>
          <w:p>
            <w:pPr>
              <w:jc w:val="center"/>
              <w:rPr>
                <w:rFonts w:ascii="仿宋" w:hAnsi="仿宋" w:eastAsia="仿宋"/>
                <w:sz w:val="28"/>
                <w:szCs w:val="28"/>
              </w:rPr>
            </w:pPr>
          </w:p>
          <w:p>
            <w:pPr>
              <w:jc w:val="center"/>
              <w:rPr>
                <w:rFonts w:ascii="仿宋" w:hAnsi="仿宋" w:eastAsia="仿宋"/>
                <w:sz w:val="28"/>
                <w:szCs w:val="28"/>
              </w:rPr>
            </w:pPr>
            <w:r>
              <w:rPr>
                <w:rFonts w:hint="eastAsia" w:ascii="仿宋" w:hAnsi="仿宋" w:eastAsia="仿宋"/>
                <w:sz w:val="28"/>
                <w:szCs w:val="28"/>
              </w:rPr>
              <w:t>能</w:t>
            </w:r>
          </w:p>
          <w:p>
            <w:pPr>
              <w:jc w:val="center"/>
              <w:rPr>
                <w:rFonts w:ascii="仿宋" w:hAnsi="仿宋" w:eastAsia="仿宋"/>
                <w:sz w:val="28"/>
                <w:szCs w:val="28"/>
              </w:rPr>
            </w:pPr>
          </w:p>
          <w:p>
            <w:pPr>
              <w:jc w:val="center"/>
              <w:rPr>
                <w:rFonts w:ascii="仿宋" w:hAnsi="仿宋" w:eastAsia="仿宋"/>
                <w:sz w:val="28"/>
                <w:szCs w:val="28"/>
              </w:rPr>
            </w:pPr>
            <w:r>
              <w:rPr>
                <w:rFonts w:hint="eastAsia" w:ascii="仿宋" w:hAnsi="仿宋" w:eastAsia="仿宋"/>
                <w:sz w:val="28"/>
                <w:szCs w:val="28"/>
              </w:rPr>
              <w:t>力</w:t>
            </w:r>
          </w:p>
        </w:tc>
        <w:tc>
          <w:tcPr>
            <w:tcW w:w="1749" w:type="dxa"/>
            <w:gridSpan w:val="4"/>
            <w:noWrap/>
            <w:vAlign w:val="center"/>
          </w:tcPr>
          <w:p>
            <w:pPr>
              <w:jc w:val="center"/>
              <w:rPr>
                <w:rFonts w:ascii="仿宋" w:hAnsi="仿宋" w:eastAsia="仿宋"/>
                <w:sz w:val="28"/>
                <w:szCs w:val="28"/>
              </w:rPr>
            </w:pPr>
            <w:r>
              <w:rPr>
                <w:rFonts w:hint="eastAsia" w:ascii="仿宋" w:hAnsi="仿宋" w:eastAsia="仿宋"/>
                <w:sz w:val="28"/>
                <w:szCs w:val="28"/>
              </w:rPr>
              <w:t>饮食会否自理</w:t>
            </w:r>
          </w:p>
        </w:tc>
        <w:tc>
          <w:tcPr>
            <w:tcW w:w="515" w:type="dxa"/>
            <w:gridSpan w:val="2"/>
            <w:noWrap/>
            <w:vAlign w:val="center"/>
          </w:tcPr>
          <w:p>
            <w:pPr>
              <w:jc w:val="center"/>
              <w:rPr>
                <w:rFonts w:ascii="仿宋" w:hAnsi="仿宋" w:eastAsia="仿宋"/>
                <w:sz w:val="28"/>
                <w:szCs w:val="28"/>
              </w:rPr>
            </w:pPr>
          </w:p>
        </w:tc>
        <w:tc>
          <w:tcPr>
            <w:tcW w:w="2005" w:type="dxa"/>
            <w:gridSpan w:val="6"/>
            <w:noWrap/>
            <w:vAlign w:val="center"/>
          </w:tcPr>
          <w:p>
            <w:pPr>
              <w:jc w:val="center"/>
              <w:rPr>
                <w:rFonts w:ascii="仿宋" w:hAnsi="仿宋" w:eastAsia="仿宋"/>
                <w:sz w:val="28"/>
                <w:szCs w:val="28"/>
              </w:rPr>
            </w:pPr>
            <w:r>
              <w:rPr>
                <w:rFonts w:hint="eastAsia" w:ascii="仿宋" w:hAnsi="仿宋" w:eastAsia="仿宋"/>
                <w:sz w:val="28"/>
                <w:szCs w:val="28"/>
              </w:rPr>
              <w:t>大小便会否自理</w:t>
            </w:r>
          </w:p>
        </w:tc>
        <w:tc>
          <w:tcPr>
            <w:tcW w:w="540" w:type="dxa"/>
            <w:gridSpan w:val="2"/>
            <w:noWrap/>
            <w:vAlign w:val="center"/>
          </w:tcPr>
          <w:p>
            <w:pPr>
              <w:jc w:val="center"/>
              <w:rPr>
                <w:rFonts w:ascii="仿宋" w:hAnsi="仿宋" w:eastAsia="仿宋"/>
                <w:sz w:val="28"/>
                <w:szCs w:val="28"/>
              </w:rPr>
            </w:pPr>
          </w:p>
        </w:tc>
        <w:tc>
          <w:tcPr>
            <w:tcW w:w="1980" w:type="dxa"/>
            <w:gridSpan w:val="8"/>
            <w:noWrap/>
            <w:vAlign w:val="center"/>
          </w:tcPr>
          <w:p>
            <w:pPr>
              <w:jc w:val="center"/>
              <w:rPr>
                <w:rFonts w:ascii="仿宋" w:hAnsi="仿宋" w:eastAsia="仿宋"/>
                <w:sz w:val="28"/>
                <w:szCs w:val="28"/>
              </w:rPr>
            </w:pPr>
            <w:r>
              <w:rPr>
                <w:rFonts w:hint="eastAsia" w:ascii="仿宋" w:hAnsi="仿宋" w:eastAsia="仿宋"/>
                <w:sz w:val="28"/>
                <w:szCs w:val="28"/>
              </w:rPr>
              <w:t>会否穿着衣服</w:t>
            </w:r>
          </w:p>
        </w:tc>
        <w:tc>
          <w:tcPr>
            <w:tcW w:w="445" w:type="dxa"/>
            <w:noWrap/>
            <w:vAlign w:val="center"/>
          </w:tcPr>
          <w:p>
            <w:pPr>
              <w:jc w:val="center"/>
              <w:rPr>
                <w:rFonts w:ascii="仿宋" w:hAnsi="仿宋" w:eastAsia="仿宋"/>
                <w:sz w:val="28"/>
                <w:szCs w:val="28"/>
              </w:rPr>
            </w:pPr>
          </w:p>
        </w:tc>
        <w:tc>
          <w:tcPr>
            <w:tcW w:w="1535" w:type="dxa"/>
            <w:gridSpan w:val="4"/>
            <w:noWrap/>
            <w:vAlign w:val="center"/>
          </w:tcPr>
          <w:p>
            <w:pPr>
              <w:jc w:val="center"/>
              <w:rPr>
                <w:rFonts w:ascii="仿宋" w:hAnsi="仿宋" w:eastAsia="仿宋"/>
                <w:sz w:val="28"/>
                <w:szCs w:val="28"/>
              </w:rPr>
            </w:pPr>
            <w:r>
              <w:rPr>
                <w:rFonts w:hint="eastAsia" w:ascii="仿宋" w:hAnsi="仿宋" w:eastAsia="仿宋"/>
                <w:sz w:val="28"/>
                <w:szCs w:val="28"/>
              </w:rPr>
              <w:t>会否乘车</w:t>
            </w:r>
          </w:p>
        </w:tc>
        <w:tc>
          <w:tcPr>
            <w:tcW w:w="1080" w:type="dxa"/>
            <w:noWrap/>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591" w:type="dxa"/>
            <w:vMerge w:val="continue"/>
            <w:noWrap/>
            <w:vAlign w:val="center"/>
          </w:tcPr>
          <w:p>
            <w:pPr>
              <w:jc w:val="center"/>
              <w:rPr>
                <w:rFonts w:ascii="仿宋" w:hAnsi="仿宋" w:eastAsia="仿宋"/>
                <w:sz w:val="28"/>
                <w:szCs w:val="28"/>
              </w:rPr>
            </w:pPr>
          </w:p>
        </w:tc>
        <w:tc>
          <w:tcPr>
            <w:tcW w:w="1749" w:type="dxa"/>
            <w:gridSpan w:val="4"/>
            <w:noWrap/>
            <w:vAlign w:val="center"/>
          </w:tcPr>
          <w:p>
            <w:pPr>
              <w:jc w:val="center"/>
              <w:rPr>
                <w:rFonts w:ascii="仿宋" w:hAnsi="仿宋" w:eastAsia="仿宋"/>
                <w:sz w:val="28"/>
                <w:szCs w:val="28"/>
              </w:rPr>
            </w:pPr>
            <w:r>
              <w:rPr>
                <w:rFonts w:hint="eastAsia" w:ascii="仿宋" w:hAnsi="仿宋" w:eastAsia="仿宋"/>
                <w:sz w:val="28"/>
                <w:szCs w:val="28"/>
              </w:rPr>
              <w:t>会否购物</w:t>
            </w:r>
          </w:p>
        </w:tc>
        <w:tc>
          <w:tcPr>
            <w:tcW w:w="515" w:type="dxa"/>
            <w:gridSpan w:val="2"/>
            <w:noWrap/>
            <w:vAlign w:val="center"/>
          </w:tcPr>
          <w:p>
            <w:pPr>
              <w:jc w:val="center"/>
              <w:rPr>
                <w:rFonts w:ascii="仿宋" w:hAnsi="仿宋" w:eastAsia="仿宋"/>
                <w:sz w:val="28"/>
                <w:szCs w:val="28"/>
              </w:rPr>
            </w:pPr>
          </w:p>
        </w:tc>
        <w:tc>
          <w:tcPr>
            <w:tcW w:w="2005" w:type="dxa"/>
            <w:gridSpan w:val="6"/>
            <w:noWrap/>
            <w:vAlign w:val="center"/>
          </w:tcPr>
          <w:p>
            <w:pPr>
              <w:jc w:val="center"/>
              <w:rPr>
                <w:rFonts w:ascii="仿宋" w:hAnsi="仿宋" w:eastAsia="仿宋"/>
                <w:sz w:val="28"/>
                <w:szCs w:val="28"/>
              </w:rPr>
            </w:pPr>
            <w:r>
              <w:rPr>
                <w:rFonts w:hint="eastAsia" w:ascii="仿宋" w:hAnsi="仿宋" w:eastAsia="仿宋"/>
                <w:sz w:val="28"/>
                <w:szCs w:val="28"/>
              </w:rPr>
              <w:t>会否约友</w:t>
            </w:r>
          </w:p>
        </w:tc>
        <w:tc>
          <w:tcPr>
            <w:tcW w:w="540" w:type="dxa"/>
            <w:gridSpan w:val="2"/>
            <w:noWrap/>
            <w:vAlign w:val="center"/>
          </w:tcPr>
          <w:p>
            <w:pPr>
              <w:jc w:val="center"/>
              <w:rPr>
                <w:rFonts w:ascii="仿宋" w:hAnsi="仿宋" w:eastAsia="仿宋"/>
                <w:sz w:val="28"/>
                <w:szCs w:val="28"/>
              </w:rPr>
            </w:pPr>
          </w:p>
        </w:tc>
        <w:tc>
          <w:tcPr>
            <w:tcW w:w="1980" w:type="dxa"/>
            <w:gridSpan w:val="8"/>
            <w:noWrap/>
            <w:vAlign w:val="center"/>
          </w:tcPr>
          <w:p>
            <w:pPr>
              <w:jc w:val="center"/>
              <w:rPr>
                <w:rFonts w:ascii="仿宋" w:hAnsi="仿宋" w:eastAsia="仿宋"/>
                <w:sz w:val="28"/>
                <w:szCs w:val="28"/>
              </w:rPr>
            </w:pPr>
            <w:r>
              <w:rPr>
                <w:rFonts w:hint="eastAsia" w:ascii="仿宋" w:hAnsi="仿宋" w:eastAsia="仿宋"/>
                <w:sz w:val="28"/>
                <w:szCs w:val="28"/>
              </w:rPr>
              <w:t>能否自行</w:t>
            </w:r>
          </w:p>
          <w:p>
            <w:pPr>
              <w:jc w:val="center"/>
              <w:rPr>
                <w:rFonts w:ascii="仿宋" w:hAnsi="仿宋" w:eastAsia="仿宋"/>
                <w:sz w:val="28"/>
                <w:szCs w:val="28"/>
              </w:rPr>
            </w:pPr>
            <w:r>
              <w:rPr>
                <w:rFonts w:hint="eastAsia" w:ascii="仿宋" w:hAnsi="仿宋" w:eastAsia="仿宋"/>
                <w:sz w:val="28"/>
                <w:szCs w:val="28"/>
              </w:rPr>
              <w:t>到工疗站</w:t>
            </w:r>
          </w:p>
        </w:tc>
        <w:tc>
          <w:tcPr>
            <w:tcW w:w="3060" w:type="dxa"/>
            <w:gridSpan w:val="6"/>
            <w:noWrap/>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591" w:type="dxa"/>
            <w:vMerge w:val="continue"/>
            <w:noWrap/>
            <w:vAlign w:val="center"/>
          </w:tcPr>
          <w:p>
            <w:pPr>
              <w:jc w:val="center"/>
              <w:rPr>
                <w:rFonts w:ascii="仿宋" w:hAnsi="仿宋" w:eastAsia="仿宋"/>
                <w:sz w:val="28"/>
                <w:szCs w:val="28"/>
              </w:rPr>
            </w:pPr>
          </w:p>
        </w:tc>
        <w:tc>
          <w:tcPr>
            <w:tcW w:w="1749" w:type="dxa"/>
            <w:gridSpan w:val="4"/>
            <w:noWrap/>
            <w:vAlign w:val="center"/>
          </w:tcPr>
          <w:p>
            <w:pPr>
              <w:jc w:val="center"/>
              <w:rPr>
                <w:rFonts w:ascii="仿宋" w:hAnsi="仿宋" w:eastAsia="仿宋"/>
                <w:sz w:val="28"/>
                <w:szCs w:val="28"/>
              </w:rPr>
            </w:pPr>
            <w:r>
              <w:rPr>
                <w:rFonts w:hint="eastAsia" w:ascii="仿宋" w:hAnsi="仿宋" w:eastAsia="仿宋"/>
                <w:sz w:val="28"/>
                <w:szCs w:val="28"/>
              </w:rPr>
              <w:t>能否与人沟通</w:t>
            </w:r>
          </w:p>
        </w:tc>
        <w:tc>
          <w:tcPr>
            <w:tcW w:w="3060" w:type="dxa"/>
            <w:gridSpan w:val="10"/>
            <w:noWrap/>
            <w:vAlign w:val="center"/>
          </w:tcPr>
          <w:p>
            <w:pPr>
              <w:jc w:val="center"/>
              <w:rPr>
                <w:rFonts w:ascii="仿宋" w:hAnsi="仿宋" w:eastAsia="仿宋"/>
                <w:sz w:val="28"/>
                <w:szCs w:val="28"/>
              </w:rPr>
            </w:pPr>
          </w:p>
        </w:tc>
        <w:tc>
          <w:tcPr>
            <w:tcW w:w="1980" w:type="dxa"/>
            <w:gridSpan w:val="8"/>
            <w:noWrap/>
            <w:vAlign w:val="center"/>
          </w:tcPr>
          <w:p>
            <w:pPr>
              <w:jc w:val="center"/>
              <w:rPr>
                <w:rFonts w:ascii="仿宋" w:hAnsi="仿宋" w:eastAsia="仿宋"/>
                <w:sz w:val="28"/>
                <w:szCs w:val="28"/>
              </w:rPr>
            </w:pPr>
            <w:r>
              <w:rPr>
                <w:rFonts w:hint="eastAsia" w:ascii="仿宋" w:hAnsi="仿宋" w:eastAsia="仿宋"/>
                <w:sz w:val="28"/>
                <w:szCs w:val="28"/>
              </w:rPr>
              <w:t>会否使用电话</w:t>
            </w:r>
          </w:p>
        </w:tc>
        <w:tc>
          <w:tcPr>
            <w:tcW w:w="3060" w:type="dxa"/>
            <w:gridSpan w:val="6"/>
            <w:noWrap/>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591" w:type="dxa"/>
            <w:vMerge w:val="continue"/>
            <w:noWrap/>
            <w:vAlign w:val="center"/>
          </w:tcPr>
          <w:p>
            <w:pPr>
              <w:jc w:val="center"/>
              <w:rPr>
                <w:rFonts w:ascii="仿宋" w:hAnsi="仿宋" w:eastAsia="仿宋"/>
                <w:sz w:val="28"/>
                <w:szCs w:val="28"/>
              </w:rPr>
            </w:pPr>
          </w:p>
        </w:tc>
        <w:tc>
          <w:tcPr>
            <w:tcW w:w="1749" w:type="dxa"/>
            <w:gridSpan w:val="4"/>
            <w:noWrap/>
            <w:vAlign w:val="center"/>
          </w:tcPr>
          <w:p>
            <w:pPr>
              <w:jc w:val="center"/>
              <w:rPr>
                <w:rFonts w:ascii="仿宋" w:hAnsi="仿宋" w:eastAsia="仿宋"/>
                <w:sz w:val="28"/>
                <w:szCs w:val="28"/>
              </w:rPr>
            </w:pPr>
            <w:r>
              <w:rPr>
                <w:rFonts w:hint="eastAsia" w:ascii="仿宋" w:hAnsi="仿宋" w:eastAsia="仿宋"/>
                <w:sz w:val="28"/>
                <w:szCs w:val="28"/>
              </w:rPr>
              <w:t>家务劳动情况</w:t>
            </w:r>
          </w:p>
        </w:tc>
        <w:tc>
          <w:tcPr>
            <w:tcW w:w="3060" w:type="dxa"/>
            <w:gridSpan w:val="10"/>
            <w:noWrap/>
            <w:vAlign w:val="center"/>
          </w:tcPr>
          <w:p>
            <w:pPr>
              <w:jc w:val="center"/>
              <w:rPr>
                <w:rFonts w:ascii="仿宋" w:hAnsi="仿宋" w:eastAsia="仿宋"/>
                <w:sz w:val="28"/>
                <w:szCs w:val="28"/>
              </w:rPr>
            </w:pPr>
          </w:p>
        </w:tc>
        <w:tc>
          <w:tcPr>
            <w:tcW w:w="1980" w:type="dxa"/>
            <w:gridSpan w:val="8"/>
            <w:noWrap/>
            <w:vAlign w:val="center"/>
          </w:tcPr>
          <w:p>
            <w:pPr>
              <w:jc w:val="center"/>
              <w:rPr>
                <w:rFonts w:ascii="仿宋" w:hAnsi="仿宋" w:eastAsia="仿宋"/>
                <w:sz w:val="28"/>
                <w:szCs w:val="28"/>
              </w:rPr>
            </w:pPr>
            <w:r>
              <w:rPr>
                <w:rFonts w:hint="eastAsia" w:ascii="仿宋" w:hAnsi="仿宋" w:eastAsia="仿宋"/>
                <w:sz w:val="28"/>
                <w:szCs w:val="28"/>
              </w:rPr>
              <w:t>应急能力情况</w:t>
            </w:r>
          </w:p>
        </w:tc>
        <w:tc>
          <w:tcPr>
            <w:tcW w:w="3060" w:type="dxa"/>
            <w:gridSpan w:val="6"/>
            <w:noWrap/>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trPr>
        <w:tc>
          <w:tcPr>
            <w:tcW w:w="591" w:type="dxa"/>
            <w:vMerge w:val="continue"/>
            <w:noWrap/>
            <w:vAlign w:val="center"/>
          </w:tcPr>
          <w:p>
            <w:pPr>
              <w:jc w:val="center"/>
              <w:rPr>
                <w:rFonts w:ascii="仿宋" w:hAnsi="仿宋" w:eastAsia="仿宋"/>
                <w:sz w:val="28"/>
                <w:szCs w:val="28"/>
              </w:rPr>
            </w:pPr>
          </w:p>
        </w:tc>
        <w:tc>
          <w:tcPr>
            <w:tcW w:w="1749" w:type="dxa"/>
            <w:gridSpan w:val="4"/>
            <w:noWrap/>
            <w:vAlign w:val="center"/>
          </w:tcPr>
          <w:p>
            <w:pPr>
              <w:jc w:val="center"/>
              <w:rPr>
                <w:rFonts w:ascii="仿宋" w:hAnsi="仿宋" w:eastAsia="仿宋"/>
                <w:sz w:val="28"/>
                <w:szCs w:val="28"/>
              </w:rPr>
            </w:pPr>
            <w:r>
              <w:rPr>
                <w:rFonts w:hint="eastAsia" w:ascii="仿宋" w:hAnsi="仿宋" w:eastAsia="仿宋"/>
                <w:sz w:val="28"/>
                <w:szCs w:val="28"/>
              </w:rPr>
              <w:t>主要障碍</w:t>
            </w:r>
          </w:p>
          <w:p>
            <w:pPr>
              <w:jc w:val="center"/>
              <w:rPr>
                <w:rFonts w:ascii="仿宋" w:hAnsi="仿宋" w:eastAsia="仿宋"/>
                <w:sz w:val="28"/>
                <w:szCs w:val="28"/>
              </w:rPr>
            </w:pPr>
            <w:r>
              <w:rPr>
                <w:rFonts w:hint="eastAsia" w:ascii="仿宋" w:hAnsi="仿宋" w:eastAsia="仿宋"/>
                <w:sz w:val="28"/>
                <w:szCs w:val="28"/>
              </w:rPr>
              <w:t>和困难</w:t>
            </w:r>
          </w:p>
        </w:tc>
        <w:tc>
          <w:tcPr>
            <w:tcW w:w="8100" w:type="dxa"/>
            <w:gridSpan w:val="24"/>
            <w:noWrap/>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4" w:hRule="atLeast"/>
        </w:trPr>
        <w:tc>
          <w:tcPr>
            <w:tcW w:w="591" w:type="dxa"/>
            <w:noWrap/>
            <w:vAlign w:val="center"/>
          </w:tcPr>
          <w:p>
            <w:pPr>
              <w:jc w:val="center"/>
              <w:rPr>
                <w:rFonts w:ascii="仿宋" w:hAnsi="仿宋" w:eastAsia="仿宋"/>
                <w:sz w:val="28"/>
                <w:szCs w:val="28"/>
              </w:rPr>
            </w:pPr>
            <w:r>
              <w:rPr>
                <w:rFonts w:hint="eastAsia" w:ascii="仿宋" w:hAnsi="仿宋" w:eastAsia="仿宋"/>
                <w:sz w:val="28"/>
                <w:szCs w:val="28"/>
              </w:rPr>
              <w:t>备</w:t>
            </w:r>
          </w:p>
          <w:p>
            <w:pPr>
              <w:jc w:val="center"/>
              <w:rPr>
                <w:rFonts w:ascii="仿宋" w:hAnsi="仿宋" w:eastAsia="仿宋"/>
                <w:sz w:val="28"/>
                <w:szCs w:val="28"/>
              </w:rPr>
            </w:pPr>
            <w:r>
              <w:rPr>
                <w:rFonts w:hint="eastAsia" w:ascii="仿宋" w:hAnsi="仿宋" w:eastAsia="仿宋"/>
                <w:sz w:val="28"/>
                <w:szCs w:val="28"/>
              </w:rPr>
              <w:t>注</w:t>
            </w:r>
          </w:p>
        </w:tc>
        <w:tc>
          <w:tcPr>
            <w:tcW w:w="9849" w:type="dxa"/>
            <w:gridSpan w:val="28"/>
            <w:noWrap/>
          </w:tcPr>
          <w:p>
            <w:pPr>
              <w:rPr>
                <w:rFonts w:ascii="仿宋" w:hAnsi="仿宋" w:eastAsia="仿宋"/>
                <w:b/>
                <w:sz w:val="28"/>
                <w:szCs w:val="28"/>
              </w:rPr>
            </w:pPr>
            <w:r>
              <w:rPr>
                <w:rFonts w:hint="eastAsia" w:ascii="仿宋" w:hAnsi="仿宋" w:eastAsia="仿宋"/>
                <w:b/>
                <w:sz w:val="28"/>
                <w:szCs w:val="28"/>
              </w:rPr>
              <w:t>本人承诺所提供资料信息真实可靠，如有不实之处，愿承担相关责任和义务。</w:t>
            </w:r>
          </w:p>
          <w:p>
            <w:pPr>
              <w:ind w:firstLine="6412" w:firstLineChars="2290"/>
              <w:rPr>
                <w:rFonts w:ascii="仿宋" w:hAnsi="仿宋" w:eastAsia="仿宋"/>
                <w:sz w:val="28"/>
                <w:szCs w:val="28"/>
              </w:rPr>
            </w:pPr>
            <w:r>
              <w:rPr>
                <w:rFonts w:hint="eastAsia" w:ascii="仿宋" w:hAnsi="仿宋" w:eastAsia="仿宋"/>
                <w:b/>
                <w:sz w:val="28"/>
                <w:szCs w:val="28"/>
              </w:rPr>
              <w:t>监护人：</w:t>
            </w:r>
          </w:p>
        </w:tc>
      </w:tr>
    </w:tbl>
    <w:p>
      <w:pPr>
        <w:ind w:firstLine="280" w:firstLineChars="100"/>
        <w:rPr>
          <w:rFonts w:ascii="仿宋" w:hAnsi="仿宋" w:eastAsia="仿宋"/>
          <w:sz w:val="28"/>
          <w:szCs w:val="28"/>
        </w:rPr>
      </w:pPr>
      <w:r>
        <w:rPr>
          <w:rFonts w:hint="eastAsia" w:ascii="仿宋" w:hAnsi="仿宋" w:eastAsia="仿宋"/>
          <w:sz w:val="28"/>
          <w:szCs w:val="28"/>
        </w:rPr>
        <w:t>填表人（签名）：</w:t>
      </w:r>
    </w:p>
    <w:p>
      <w:pPr>
        <w:ind w:firstLine="280" w:firstLineChars="100"/>
        <w:rPr>
          <w:rFonts w:ascii="仿宋" w:hAnsi="仿宋" w:eastAsia="仿宋"/>
          <w:sz w:val="28"/>
          <w:szCs w:val="28"/>
        </w:rPr>
      </w:pPr>
      <w:r>
        <w:rPr>
          <w:rFonts w:hint="eastAsia" w:ascii="仿宋" w:hAnsi="仿宋" w:eastAsia="仿宋"/>
          <w:sz w:val="28"/>
          <w:szCs w:val="28"/>
        </w:rPr>
        <w:t>审批人（签名）：                                            年   月  日</w:t>
      </w:r>
    </w:p>
    <w:p>
      <w:pPr>
        <w:ind w:firstLine="415" w:firstLineChars="150"/>
        <w:rPr>
          <w:rFonts w:ascii="仿宋" w:hAnsi="仿宋" w:eastAsia="仿宋"/>
          <w:w w:val="99"/>
          <w:sz w:val="28"/>
          <w:szCs w:val="28"/>
        </w:rPr>
        <w:sectPr>
          <w:footerReference r:id="rId5" w:type="default"/>
          <w:pgSz w:w="11906" w:h="16838"/>
          <w:pgMar w:top="624" w:right="737" w:bottom="249" w:left="737" w:header="851" w:footer="992" w:gutter="0"/>
          <w:pgNumType w:fmt="numberInDash"/>
          <w:cols w:space="720" w:num="1"/>
          <w:docGrid w:type="linesAndChars" w:linePitch="312" w:charSpace="0"/>
        </w:sectPr>
      </w:pPr>
    </w:p>
    <w:p>
      <w:pPr>
        <w:rPr>
          <w:rFonts w:ascii="仿宋" w:hAnsi="仿宋" w:eastAsia="仿宋"/>
          <w:sz w:val="28"/>
          <w:szCs w:val="28"/>
        </w:rPr>
      </w:pPr>
      <w:r>
        <w:rPr>
          <w:rFonts w:hint="eastAsia" w:ascii="仿宋" w:hAnsi="仿宋" w:eastAsia="仿宋"/>
          <w:sz w:val="28"/>
          <w:szCs w:val="28"/>
        </w:rPr>
        <w:t>附件2</w:t>
      </w:r>
    </w:p>
    <w:tbl>
      <w:tblPr>
        <w:tblStyle w:val="9"/>
        <w:tblpPr w:leftFromText="180" w:rightFromText="180" w:vertAnchor="text" w:horzAnchor="page" w:tblpX="1314" w:tblpY="625"/>
        <w:tblOverlap w:val="never"/>
        <w:tblW w:w="9385" w:type="dxa"/>
        <w:tblInd w:w="0" w:type="dxa"/>
        <w:tblLayout w:type="fixed"/>
        <w:tblCellMar>
          <w:top w:w="15" w:type="dxa"/>
          <w:left w:w="15" w:type="dxa"/>
          <w:bottom w:w="15" w:type="dxa"/>
          <w:right w:w="15" w:type="dxa"/>
        </w:tblCellMar>
      </w:tblPr>
      <w:tblGrid>
        <w:gridCol w:w="1240"/>
        <w:gridCol w:w="1281"/>
        <w:gridCol w:w="1282"/>
        <w:gridCol w:w="1143"/>
        <w:gridCol w:w="1504"/>
        <w:gridCol w:w="1144"/>
        <w:gridCol w:w="741"/>
        <w:gridCol w:w="1050"/>
      </w:tblGrid>
      <w:tr>
        <w:tblPrEx>
          <w:tblCellMar>
            <w:top w:w="15" w:type="dxa"/>
            <w:left w:w="15" w:type="dxa"/>
            <w:bottom w:w="15" w:type="dxa"/>
            <w:right w:w="15" w:type="dxa"/>
          </w:tblCellMar>
        </w:tblPrEx>
        <w:trPr>
          <w:trHeight w:val="725" w:hRule="atLeast"/>
        </w:trPr>
        <w:tc>
          <w:tcPr>
            <w:tcW w:w="9385" w:type="dxa"/>
            <w:gridSpan w:val="8"/>
            <w:tcBorders>
              <w:bottom w:val="single" w:color="auto" w:sz="8" w:space="0"/>
            </w:tcBorders>
            <w:noWrap/>
            <w:vAlign w:val="center"/>
          </w:tcPr>
          <w:p>
            <w:pPr>
              <w:widowControl/>
              <w:jc w:val="center"/>
              <w:textAlignment w:val="center"/>
              <w:rPr>
                <w:rFonts w:ascii="宋体" w:hAnsi="宋体" w:cs="宋体"/>
                <w:b/>
                <w:color w:val="000000"/>
                <w:sz w:val="18"/>
                <w:szCs w:val="18"/>
              </w:rPr>
            </w:pPr>
            <w:r>
              <w:rPr>
                <w:rFonts w:hint="eastAsia" w:ascii="宋体" w:hAnsi="宋体" w:cs="宋体"/>
                <w:b/>
                <w:color w:val="000000"/>
                <w:kern w:val="0"/>
                <w:sz w:val="28"/>
                <w:szCs w:val="28"/>
              </w:rPr>
              <w:t>***区康园中心学员初评表</w:t>
            </w:r>
          </w:p>
        </w:tc>
      </w:tr>
      <w:tr>
        <w:tblPrEx>
          <w:tblCellMar>
            <w:top w:w="15" w:type="dxa"/>
            <w:left w:w="15" w:type="dxa"/>
            <w:bottom w:w="15" w:type="dxa"/>
            <w:right w:w="15" w:type="dxa"/>
          </w:tblCellMar>
        </w:tblPrEx>
        <w:trPr>
          <w:trHeight w:val="408" w:hRule="atLeast"/>
        </w:trPr>
        <w:tc>
          <w:tcPr>
            <w:tcW w:w="9385" w:type="dxa"/>
            <w:gridSpan w:val="8"/>
            <w:tcBorders>
              <w:top w:val="single" w:color="auto" w:sz="8" w:space="0"/>
              <w:left w:val="single" w:color="auto" w:sz="8" w:space="0"/>
              <w:bottom w:val="single" w:color="auto" w:sz="4" w:space="0"/>
              <w:right w:val="single" w:color="auto" w:sz="8" w:space="0"/>
            </w:tcBorders>
            <w:noWrap/>
            <w:vAlign w:val="center"/>
          </w:tcPr>
          <w:p>
            <w:pPr>
              <w:widowControl/>
              <w:jc w:val="center"/>
              <w:textAlignment w:val="center"/>
              <w:rPr>
                <w:rFonts w:ascii="宋体" w:hAnsi="宋体" w:cs="宋体"/>
                <w:b/>
                <w:color w:val="000000"/>
                <w:sz w:val="18"/>
                <w:szCs w:val="18"/>
              </w:rPr>
            </w:pPr>
            <w:r>
              <w:rPr>
                <w:rFonts w:hint="eastAsia" w:ascii="宋体" w:hAnsi="宋体" w:cs="宋体"/>
                <w:b/>
                <w:color w:val="000000"/>
                <w:kern w:val="0"/>
                <w:sz w:val="18"/>
                <w:szCs w:val="18"/>
              </w:rPr>
              <w:t>一、基本资料</w:t>
            </w:r>
          </w:p>
        </w:tc>
      </w:tr>
      <w:tr>
        <w:tblPrEx>
          <w:tblCellMar>
            <w:top w:w="15" w:type="dxa"/>
            <w:left w:w="15" w:type="dxa"/>
            <w:bottom w:w="15" w:type="dxa"/>
            <w:right w:w="15" w:type="dxa"/>
          </w:tblCellMar>
        </w:tblPrEx>
        <w:trPr>
          <w:trHeight w:val="408" w:hRule="atLeast"/>
        </w:trPr>
        <w:tc>
          <w:tcPr>
            <w:tcW w:w="1240" w:type="dxa"/>
            <w:tcBorders>
              <w:top w:val="single" w:color="auto" w:sz="4" w:space="0"/>
              <w:left w:val="single" w:color="auto" w:sz="8"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姓名</w:t>
            </w:r>
          </w:p>
        </w:tc>
        <w:tc>
          <w:tcPr>
            <w:tcW w:w="1281" w:type="dxa"/>
            <w:tcBorders>
              <w:top w:val="single" w:color="auto" w:sz="4" w:space="0"/>
              <w:left w:val="single" w:color="000000" w:sz="4" w:space="0"/>
              <w:bottom w:val="single" w:color="000000" w:sz="4" w:space="0"/>
              <w:right w:val="single" w:color="000000" w:sz="4" w:space="0"/>
            </w:tcBorders>
            <w:noWrap/>
            <w:vAlign w:val="center"/>
          </w:tcPr>
          <w:p>
            <w:pPr>
              <w:jc w:val="center"/>
              <w:rPr>
                <w:rFonts w:ascii="宋体" w:hAnsi="宋体" w:cs="宋体"/>
                <w:color w:val="0000FF"/>
                <w:sz w:val="18"/>
                <w:szCs w:val="18"/>
              </w:rPr>
            </w:pPr>
          </w:p>
        </w:tc>
        <w:tc>
          <w:tcPr>
            <w:tcW w:w="1282" w:type="dxa"/>
            <w:tcBorders>
              <w:top w:val="single" w:color="auto"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学历</w:t>
            </w:r>
          </w:p>
        </w:tc>
        <w:tc>
          <w:tcPr>
            <w:tcW w:w="1143" w:type="dxa"/>
            <w:tcBorders>
              <w:top w:val="single" w:color="auto" w:sz="4" w:space="0"/>
              <w:left w:val="single" w:color="000000" w:sz="4" w:space="0"/>
              <w:bottom w:val="single" w:color="000000" w:sz="4" w:space="0"/>
              <w:right w:val="single" w:color="000000" w:sz="4" w:space="0"/>
            </w:tcBorders>
            <w:noWrap/>
            <w:vAlign w:val="center"/>
          </w:tcPr>
          <w:p>
            <w:pPr>
              <w:jc w:val="center"/>
              <w:rPr>
                <w:rFonts w:ascii="宋体" w:hAnsi="宋体" w:cs="宋体"/>
                <w:color w:val="0000FF"/>
                <w:sz w:val="18"/>
                <w:szCs w:val="18"/>
              </w:rPr>
            </w:pPr>
          </w:p>
        </w:tc>
        <w:tc>
          <w:tcPr>
            <w:tcW w:w="1504" w:type="dxa"/>
            <w:tcBorders>
              <w:top w:val="single" w:color="auto"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残疾类别及级别</w:t>
            </w:r>
          </w:p>
        </w:tc>
        <w:tc>
          <w:tcPr>
            <w:tcW w:w="1144" w:type="dxa"/>
            <w:tcBorders>
              <w:top w:val="single" w:color="auto" w:sz="4" w:space="0"/>
              <w:left w:val="single" w:color="000000" w:sz="4" w:space="0"/>
              <w:bottom w:val="single" w:color="000000" w:sz="4" w:space="0"/>
              <w:right w:val="single" w:color="000000" w:sz="4" w:space="0"/>
            </w:tcBorders>
            <w:noWrap/>
            <w:vAlign w:val="center"/>
          </w:tcPr>
          <w:p>
            <w:pPr>
              <w:jc w:val="center"/>
              <w:rPr>
                <w:rFonts w:ascii="宋体" w:hAnsi="宋体" w:cs="宋体"/>
                <w:color w:val="0000FF"/>
                <w:sz w:val="18"/>
                <w:szCs w:val="18"/>
              </w:rPr>
            </w:pPr>
          </w:p>
        </w:tc>
        <w:tc>
          <w:tcPr>
            <w:tcW w:w="741" w:type="dxa"/>
            <w:tcBorders>
              <w:top w:val="single" w:color="auto"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户籍</w:t>
            </w:r>
          </w:p>
        </w:tc>
        <w:tc>
          <w:tcPr>
            <w:tcW w:w="1050" w:type="dxa"/>
            <w:tcBorders>
              <w:top w:val="single" w:color="auto" w:sz="4" w:space="0"/>
              <w:left w:val="single" w:color="000000" w:sz="4" w:space="0"/>
              <w:bottom w:val="single" w:color="000000" w:sz="4" w:space="0"/>
              <w:right w:val="single" w:color="auto" w:sz="8" w:space="0"/>
            </w:tcBorders>
            <w:noWrap/>
            <w:vAlign w:val="center"/>
          </w:tcPr>
          <w:p>
            <w:pPr>
              <w:jc w:val="center"/>
              <w:rPr>
                <w:rFonts w:ascii="宋体" w:hAnsi="宋体" w:cs="宋体"/>
                <w:color w:val="000000"/>
                <w:sz w:val="18"/>
                <w:szCs w:val="18"/>
              </w:rPr>
            </w:pPr>
          </w:p>
        </w:tc>
      </w:tr>
      <w:tr>
        <w:tblPrEx>
          <w:tblCellMar>
            <w:top w:w="15" w:type="dxa"/>
            <w:left w:w="15" w:type="dxa"/>
            <w:bottom w:w="15" w:type="dxa"/>
            <w:right w:w="15" w:type="dxa"/>
          </w:tblCellMar>
        </w:tblPrEx>
        <w:trPr>
          <w:trHeight w:val="408" w:hRule="atLeast"/>
        </w:trPr>
        <w:tc>
          <w:tcPr>
            <w:tcW w:w="1240" w:type="dxa"/>
            <w:tcBorders>
              <w:top w:val="single" w:color="000000" w:sz="4" w:space="0"/>
              <w:left w:val="single" w:color="auto" w:sz="8"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经济状况</w:t>
            </w:r>
          </w:p>
        </w:tc>
        <w:tc>
          <w:tcPr>
            <w:tcW w:w="8145" w:type="dxa"/>
            <w:gridSpan w:val="7"/>
            <w:tcBorders>
              <w:top w:val="single" w:color="000000" w:sz="4" w:space="0"/>
              <w:left w:val="single" w:color="000000" w:sz="4" w:space="0"/>
              <w:bottom w:val="single" w:color="000000" w:sz="4" w:space="0"/>
              <w:right w:val="single" w:color="auto" w:sz="8" w:space="0"/>
            </w:tcBorders>
            <w:noWrap/>
            <w:vAlign w:val="center"/>
          </w:tcPr>
          <w:p>
            <w:pPr>
              <w:jc w:val="center"/>
              <w:rPr>
                <w:rFonts w:ascii="宋体" w:hAnsi="宋体" w:cs="宋体"/>
                <w:color w:val="0000FF"/>
                <w:sz w:val="18"/>
                <w:szCs w:val="18"/>
              </w:rPr>
            </w:pPr>
          </w:p>
        </w:tc>
      </w:tr>
      <w:tr>
        <w:tblPrEx>
          <w:tblCellMar>
            <w:top w:w="15" w:type="dxa"/>
            <w:left w:w="15" w:type="dxa"/>
            <w:bottom w:w="15" w:type="dxa"/>
            <w:right w:w="15" w:type="dxa"/>
          </w:tblCellMar>
        </w:tblPrEx>
        <w:trPr>
          <w:trHeight w:val="408" w:hRule="atLeast"/>
        </w:trPr>
        <w:tc>
          <w:tcPr>
            <w:tcW w:w="1240" w:type="dxa"/>
            <w:tcBorders>
              <w:top w:val="single" w:color="000000" w:sz="4" w:space="0"/>
              <w:left w:val="single" w:color="auto" w:sz="8"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照料现状</w:t>
            </w:r>
          </w:p>
        </w:tc>
        <w:tc>
          <w:tcPr>
            <w:tcW w:w="8145" w:type="dxa"/>
            <w:gridSpan w:val="7"/>
            <w:tcBorders>
              <w:top w:val="single" w:color="000000" w:sz="4" w:space="0"/>
              <w:left w:val="single" w:color="000000" w:sz="4" w:space="0"/>
              <w:bottom w:val="single" w:color="000000" w:sz="4" w:space="0"/>
              <w:right w:val="single" w:color="auto" w:sz="8" w:space="0"/>
            </w:tcBorders>
            <w:noWrap/>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监护人照料□    自己照料□    无人照料□    其他□</w:t>
            </w:r>
          </w:p>
        </w:tc>
      </w:tr>
      <w:tr>
        <w:tblPrEx>
          <w:tblCellMar>
            <w:top w:w="15" w:type="dxa"/>
            <w:left w:w="15" w:type="dxa"/>
            <w:bottom w:w="15" w:type="dxa"/>
            <w:right w:w="15" w:type="dxa"/>
          </w:tblCellMar>
        </w:tblPrEx>
        <w:trPr>
          <w:trHeight w:val="408" w:hRule="atLeast"/>
        </w:trPr>
        <w:tc>
          <w:tcPr>
            <w:tcW w:w="9385" w:type="dxa"/>
            <w:gridSpan w:val="8"/>
            <w:tcBorders>
              <w:top w:val="single" w:color="000000" w:sz="4" w:space="0"/>
              <w:left w:val="single" w:color="auto" w:sz="8" w:space="0"/>
              <w:bottom w:val="single" w:color="000000" w:sz="4" w:space="0"/>
              <w:right w:val="single" w:color="auto" w:sz="8" w:space="0"/>
            </w:tcBorders>
            <w:noWrap/>
            <w:vAlign w:val="center"/>
          </w:tcPr>
          <w:p>
            <w:pPr>
              <w:widowControl/>
              <w:jc w:val="center"/>
              <w:textAlignment w:val="center"/>
              <w:rPr>
                <w:rFonts w:ascii="宋体" w:hAnsi="宋体" w:cs="宋体"/>
                <w:b/>
                <w:color w:val="000000"/>
                <w:sz w:val="18"/>
                <w:szCs w:val="18"/>
              </w:rPr>
            </w:pPr>
            <w:r>
              <w:rPr>
                <w:rFonts w:hint="eastAsia" w:ascii="宋体" w:hAnsi="宋体" w:cs="宋体"/>
                <w:b/>
                <w:color w:val="000000"/>
                <w:kern w:val="0"/>
                <w:sz w:val="18"/>
                <w:szCs w:val="18"/>
              </w:rPr>
              <w:t>二、主要困难或问题</w:t>
            </w:r>
          </w:p>
        </w:tc>
      </w:tr>
      <w:tr>
        <w:tblPrEx>
          <w:tblCellMar>
            <w:top w:w="15" w:type="dxa"/>
            <w:left w:w="15" w:type="dxa"/>
            <w:bottom w:w="15" w:type="dxa"/>
            <w:right w:w="15" w:type="dxa"/>
          </w:tblCellMar>
        </w:tblPrEx>
        <w:trPr>
          <w:trHeight w:val="804" w:hRule="atLeast"/>
        </w:trPr>
        <w:tc>
          <w:tcPr>
            <w:tcW w:w="1240" w:type="dxa"/>
            <w:tcBorders>
              <w:top w:val="single" w:color="000000" w:sz="4" w:space="0"/>
              <w:left w:val="single" w:color="auto" w:sz="8" w:space="0"/>
              <w:bottom w:val="single" w:color="000000" w:sz="4" w:space="0"/>
              <w:right w:val="single" w:color="000000" w:sz="4" w:space="0"/>
            </w:tcBorders>
            <w:noWrap/>
            <w:vAlign w:val="center"/>
          </w:tcPr>
          <w:p>
            <w:pPr>
              <w:widowControl/>
              <w:jc w:val="center"/>
              <w:textAlignment w:val="center"/>
              <w:rPr>
                <w:rFonts w:ascii="宋体" w:hAnsi="宋体" w:cs="宋体"/>
                <w:color w:val="000000"/>
                <w:kern w:val="0"/>
                <w:sz w:val="18"/>
                <w:szCs w:val="18"/>
              </w:rPr>
            </w:pPr>
            <w:r>
              <w:rPr>
                <w:rFonts w:hint="eastAsia" w:ascii="宋体" w:hAnsi="宋体" w:cs="宋体"/>
                <w:color w:val="000000"/>
                <w:kern w:val="0"/>
                <w:sz w:val="18"/>
                <w:szCs w:val="18"/>
              </w:rPr>
              <w:t>主述问题或</w:t>
            </w:r>
          </w:p>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困难</w:t>
            </w:r>
          </w:p>
        </w:tc>
        <w:tc>
          <w:tcPr>
            <w:tcW w:w="8145" w:type="dxa"/>
            <w:gridSpan w:val="7"/>
            <w:tcBorders>
              <w:top w:val="single" w:color="000000" w:sz="4" w:space="0"/>
              <w:left w:val="single" w:color="000000" w:sz="4" w:space="0"/>
              <w:bottom w:val="single" w:color="000000" w:sz="4" w:space="0"/>
              <w:right w:val="single" w:color="auto" w:sz="8" w:space="0"/>
            </w:tcBorders>
            <w:noWrap/>
            <w:vAlign w:val="center"/>
          </w:tcPr>
          <w:p>
            <w:pPr>
              <w:rPr>
                <w:rFonts w:ascii="宋体" w:hAnsi="宋体" w:cs="宋体"/>
                <w:color w:val="000000"/>
                <w:sz w:val="18"/>
                <w:szCs w:val="18"/>
              </w:rPr>
            </w:pPr>
          </w:p>
        </w:tc>
      </w:tr>
      <w:tr>
        <w:tblPrEx>
          <w:tblCellMar>
            <w:top w:w="15" w:type="dxa"/>
            <w:left w:w="15" w:type="dxa"/>
            <w:bottom w:w="15" w:type="dxa"/>
            <w:right w:w="15" w:type="dxa"/>
          </w:tblCellMar>
        </w:tblPrEx>
        <w:trPr>
          <w:trHeight w:val="408" w:hRule="atLeast"/>
        </w:trPr>
        <w:tc>
          <w:tcPr>
            <w:tcW w:w="9385" w:type="dxa"/>
            <w:gridSpan w:val="8"/>
            <w:tcBorders>
              <w:top w:val="single" w:color="000000" w:sz="4" w:space="0"/>
              <w:left w:val="single" w:color="auto" w:sz="8" w:space="0"/>
              <w:bottom w:val="single" w:color="000000" w:sz="4" w:space="0"/>
              <w:right w:val="single" w:color="auto" w:sz="8" w:space="0"/>
            </w:tcBorders>
            <w:noWrap/>
            <w:vAlign w:val="center"/>
          </w:tcPr>
          <w:p>
            <w:pPr>
              <w:widowControl/>
              <w:jc w:val="center"/>
              <w:textAlignment w:val="center"/>
              <w:rPr>
                <w:rFonts w:ascii="宋体" w:hAnsi="宋体" w:cs="宋体"/>
                <w:b/>
                <w:color w:val="000000"/>
                <w:sz w:val="18"/>
                <w:szCs w:val="18"/>
              </w:rPr>
            </w:pPr>
            <w:r>
              <w:rPr>
                <w:rFonts w:hint="eastAsia" w:ascii="宋体" w:hAnsi="宋体" w:cs="宋体"/>
                <w:b/>
                <w:color w:val="000000"/>
                <w:kern w:val="0"/>
                <w:sz w:val="18"/>
                <w:szCs w:val="18"/>
              </w:rPr>
              <w:t>三、特殊问题</w:t>
            </w:r>
          </w:p>
        </w:tc>
      </w:tr>
      <w:tr>
        <w:tblPrEx>
          <w:tblCellMar>
            <w:top w:w="15" w:type="dxa"/>
            <w:left w:w="15" w:type="dxa"/>
            <w:bottom w:w="15" w:type="dxa"/>
            <w:right w:w="15" w:type="dxa"/>
          </w:tblCellMar>
        </w:tblPrEx>
        <w:trPr>
          <w:trHeight w:val="676" w:hRule="atLeast"/>
        </w:trPr>
        <w:tc>
          <w:tcPr>
            <w:tcW w:w="1240" w:type="dxa"/>
            <w:vMerge w:val="restart"/>
            <w:tcBorders>
              <w:top w:val="single" w:color="000000" w:sz="4" w:space="0"/>
              <w:left w:val="single" w:color="auto" w:sz="8"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社会适应能力</w:t>
            </w:r>
          </w:p>
        </w:tc>
        <w:tc>
          <w:tcPr>
            <w:tcW w:w="128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金钱管理</w:t>
            </w:r>
          </w:p>
        </w:tc>
        <w:tc>
          <w:tcPr>
            <w:tcW w:w="128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FF"/>
                <w:sz w:val="18"/>
                <w:szCs w:val="18"/>
              </w:rPr>
            </w:pPr>
          </w:p>
        </w:tc>
        <w:tc>
          <w:tcPr>
            <w:tcW w:w="114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kern w:val="0"/>
                <w:sz w:val="18"/>
                <w:szCs w:val="18"/>
              </w:rPr>
            </w:pPr>
            <w:r>
              <w:rPr>
                <w:rFonts w:hint="eastAsia" w:ascii="宋体" w:hAnsi="宋体" w:cs="宋体"/>
                <w:color w:val="000000"/>
                <w:kern w:val="0"/>
                <w:sz w:val="18"/>
                <w:szCs w:val="18"/>
              </w:rPr>
              <w:t>有无自伤或</w:t>
            </w:r>
          </w:p>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伤人</w:t>
            </w:r>
          </w:p>
        </w:tc>
        <w:tc>
          <w:tcPr>
            <w:tcW w:w="1504"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FF"/>
                <w:sz w:val="18"/>
                <w:szCs w:val="18"/>
              </w:rPr>
            </w:pPr>
          </w:p>
        </w:tc>
        <w:tc>
          <w:tcPr>
            <w:tcW w:w="114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能否独立</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乘车</w:t>
            </w:r>
          </w:p>
        </w:tc>
        <w:tc>
          <w:tcPr>
            <w:tcW w:w="1791" w:type="dxa"/>
            <w:gridSpan w:val="2"/>
            <w:tcBorders>
              <w:top w:val="single" w:color="000000" w:sz="4" w:space="0"/>
              <w:left w:val="single" w:color="000000" w:sz="4" w:space="0"/>
              <w:bottom w:val="single" w:color="000000" w:sz="4" w:space="0"/>
              <w:right w:val="single" w:color="auto" w:sz="8" w:space="0"/>
            </w:tcBorders>
            <w:noWrap/>
            <w:vAlign w:val="center"/>
          </w:tcPr>
          <w:p>
            <w:pPr>
              <w:jc w:val="center"/>
              <w:rPr>
                <w:rFonts w:ascii="宋体" w:hAnsi="宋体" w:cs="宋体"/>
                <w:color w:val="0000FF"/>
                <w:sz w:val="18"/>
                <w:szCs w:val="18"/>
              </w:rPr>
            </w:pPr>
          </w:p>
        </w:tc>
      </w:tr>
      <w:tr>
        <w:tblPrEx>
          <w:tblCellMar>
            <w:top w:w="15" w:type="dxa"/>
            <w:left w:w="15" w:type="dxa"/>
            <w:bottom w:w="15" w:type="dxa"/>
            <w:right w:w="15" w:type="dxa"/>
          </w:tblCellMar>
        </w:tblPrEx>
        <w:trPr>
          <w:trHeight w:val="464" w:hRule="atLeast"/>
        </w:trPr>
        <w:tc>
          <w:tcPr>
            <w:tcW w:w="1240" w:type="dxa"/>
            <w:vMerge w:val="continue"/>
            <w:tcBorders>
              <w:top w:val="single" w:color="000000" w:sz="4" w:space="0"/>
              <w:left w:val="single" w:color="auto" w:sz="8"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128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沟通情况</w:t>
            </w:r>
          </w:p>
        </w:tc>
        <w:tc>
          <w:tcPr>
            <w:tcW w:w="3929" w:type="dxa"/>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FF"/>
                <w:sz w:val="18"/>
                <w:szCs w:val="18"/>
              </w:rPr>
            </w:pPr>
          </w:p>
        </w:tc>
        <w:tc>
          <w:tcPr>
            <w:tcW w:w="114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家务劳动</w:t>
            </w:r>
          </w:p>
        </w:tc>
        <w:tc>
          <w:tcPr>
            <w:tcW w:w="1791" w:type="dxa"/>
            <w:gridSpan w:val="2"/>
            <w:tcBorders>
              <w:top w:val="single" w:color="000000" w:sz="4" w:space="0"/>
              <w:left w:val="single" w:color="000000" w:sz="4" w:space="0"/>
              <w:bottom w:val="single" w:color="000000" w:sz="4" w:space="0"/>
              <w:right w:val="single" w:color="auto" w:sz="8" w:space="0"/>
            </w:tcBorders>
            <w:noWrap/>
            <w:vAlign w:val="center"/>
          </w:tcPr>
          <w:p>
            <w:pPr>
              <w:jc w:val="center"/>
              <w:rPr>
                <w:rFonts w:ascii="宋体" w:hAnsi="宋体" w:cs="宋体"/>
                <w:color w:val="0000FF"/>
                <w:sz w:val="18"/>
                <w:szCs w:val="18"/>
              </w:rPr>
            </w:pPr>
          </w:p>
        </w:tc>
      </w:tr>
      <w:tr>
        <w:tblPrEx>
          <w:tblCellMar>
            <w:top w:w="15" w:type="dxa"/>
            <w:left w:w="15" w:type="dxa"/>
            <w:bottom w:w="15" w:type="dxa"/>
            <w:right w:w="15" w:type="dxa"/>
          </w:tblCellMar>
        </w:tblPrEx>
        <w:trPr>
          <w:trHeight w:val="655" w:hRule="atLeast"/>
        </w:trPr>
        <w:tc>
          <w:tcPr>
            <w:tcW w:w="1240" w:type="dxa"/>
            <w:vMerge w:val="continue"/>
            <w:tcBorders>
              <w:top w:val="single" w:color="000000" w:sz="4" w:space="0"/>
              <w:left w:val="single" w:color="auto" w:sz="8"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1281" w:type="dxa"/>
            <w:tcBorders>
              <w:top w:val="single" w:color="000000" w:sz="4" w:space="0"/>
              <w:left w:val="single" w:color="000000" w:sz="4" w:space="0"/>
              <w:bottom w:val="single" w:color="auto" w:sz="4" w:space="0"/>
              <w:right w:val="single" w:color="000000" w:sz="4" w:space="0"/>
            </w:tcBorders>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会否使用电话</w:t>
            </w:r>
          </w:p>
        </w:tc>
        <w:tc>
          <w:tcPr>
            <w:tcW w:w="1282" w:type="dxa"/>
            <w:tcBorders>
              <w:top w:val="single" w:color="000000" w:sz="4" w:space="0"/>
              <w:left w:val="single" w:color="000000" w:sz="4" w:space="0"/>
              <w:bottom w:val="single" w:color="auto" w:sz="4" w:space="0"/>
              <w:right w:val="single" w:color="000000" w:sz="4" w:space="0"/>
            </w:tcBorders>
            <w:noWrap/>
            <w:vAlign w:val="center"/>
          </w:tcPr>
          <w:p>
            <w:pPr>
              <w:rPr>
                <w:rFonts w:ascii="宋体" w:hAnsi="宋体" w:cs="宋体"/>
                <w:color w:val="000000"/>
                <w:sz w:val="18"/>
                <w:szCs w:val="18"/>
              </w:rPr>
            </w:pPr>
          </w:p>
        </w:tc>
        <w:tc>
          <w:tcPr>
            <w:tcW w:w="1143" w:type="dxa"/>
            <w:tcBorders>
              <w:top w:val="single" w:color="000000" w:sz="4" w:space="0"/>
              <w:left w:val="single" w:color="000000" w:sz="4" w:space="0"/>
              <w:bottom w:val="single" w:color="auto" w:sz="4" w:space="0"/>
              <w:right w:val="single" w:color="000000" w:sz="4" w:space="0"/>
            </w:tcBorders>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单独购物</w:t>
            </w:r>
          </w:p>
        </w:tc>
        <w:tc>
          <w:tcPr>
            <w:tcW w:w="1504" w:type="dxa"/>
            <w:tcBorders>
              <w:top w:val="single" w:color="000000" w:sz="4" w:space="0"/>
              <w:left w:val="single" w:color="000000" w:sz="4" w:space="0"/>
              <w:bottom w:val="single" w:color="auto" w:sz="4" w:space="0"/>
              <w:right w:val="single" w:color="000000" w:sz="4" w:space="0"/>
            </w:tcBorders>
            <w:noWrap/>
            <w:vAlign w:val="center"/>
          </w:tcPr>
          <w:p>
            <w:pPr>
              <w:rPr>
                <w:rFonts w:ascii="宋体" w:hAnsi="宋体" w:cs="宋体"/>
                <w:color w:val="000000"/>
                <w:sz w:val="18"/>
                <w:szCs w:val="18"/>
              </w:rPr>
            </w:pPr>
          </w:p>
        </w:tc>
        <w:tc>
          <w:tcPr>
            <w:tcW w:w="1144" w:type="dxa"/>
            <w:tcBorders>
              <w:top w:val="single" w:color="000000" w:sz="4" w:space="0"/>
              <w:left w:val="single" w:color="000000" w:sz="4" w:space="0"/>
              <w:bottom w:val="single" w:color="auto" w:sz="4" w:space="0"/>
              <w:right w:val="single" w:color="000000" w:sz="4" w:space="0"/>
            </w:tcBorders>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有无走失</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情况</w:t>
            </w:r>
          </w:p>
        </w:tc>
        <w:tc>
          <w:tcPr>
            <w:tcW w:w="1791" w:type="dxa"/>
            <w:gridSpan w:val="2"/>
            <w:tcBorders>
              <w:top w:val="single" w:color="000000" w:sz="4" w:space="0"/>
              <w:left w:val="single" w:color="000000" w:sz="4" w:space="0"/>
              <w:bottom w:val="single" w:color="auto" w:sz="4" w:space="0"/>
              <w:right w:val="single" w:color="auto" w:sz="8" w:space="0"/>
            </w:tcBorders>
            <w:noWrap/>
            <w:vAlign w:val="center"/>
          </w:tcPr>
          <w:p>
            <w:pPr>
              <w:jc w:val="center"/>
              <w:rPr>
                <w:rFonts w:ascii="宋体" w:hAnsi="宋体" w:cs="宋体"/>
                <w:color w:val="0000FF"/>
                <w:sz w:val="18"/>
                <w:szCs w:val="18"/>
              </w:rPr>
            </w:pPr>
          </w:p>
        </w:tc>
      </w:tr>
      <w:tr>
        <w:tblPrEx>
          <w:tblCellMar>
            <w:top w:w="15" w:type="dxa"/>
            <w:left w:w="15" w:type="dxa"/>
            <w:bottom w:w="15" w:type="dxa"/>
            <w:right w:w="15" w:type="dxa"/>
          </w:tblCellMar>
        </w:tblPrEx>
        <w:trPr>
          <w:trHeight w:val="640" w:hRule="atLeast"/>
        </w:trPr>
        <w:tc>
          <w:tcPr>
            <w:tcW w:w="1240" w:type="dxa"/>
            <w:tcBorders>
              <w:top w:val="single" w:color="000000" w:sz="4" w:space="0"/>
              <w:left w:val="single" w:color="auto" w:sz="8" w:space="0"/>
              <w:bottom w:val="single" w:color="000000" w:sz="4" w:space="0"/>
              <w:right w:val="single" w:color="auto" w:sz="4" w:space="0"/>
            </w:tcBorders>
            <w:noWrap/>
            <w:vAlign w:val="center"/>
          </w:tcPr>
          <w:p>
            <w:pPr>
              <w:widowControl/>
              <w:jc w:val="center"/>
              <w:textAlignment w:val="center"/>
              <w:rPr>
                <w:rFonts w:ascii="宋体" w:hAnsi="宋体" w:cs="宋体"/>
                <w:color w:val="000000"/>
                <w:kern w:val="0"/>
                <w:sz w:val="18"/>
                <w:szCs w:val="18"/>
              </w:rPr>
            </w:pPr>
            <w:r>
              <w:rPr>
                <w:rFonts w:hint="eastAsia" w:ascii="宋体" w:hAnsi="宋体" w:cs="宋体"/>
                <w:color w:val="000000"/>
                <w:kern w:val="0"/>
                <w:sz w:val="18"/>
                <w:szCs w:val="18"/>
              </w:rPr>
              <w:t>有何特长与</w:t>
            </w:r>
          </w:p>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爱好</w:t>
            </w:r>
          </w:p>
        </w:tc>
        <w:tc>
          <w:tcPr>
            <w:tcW w:w="2563" w:type="dxa"/>
            <w:gridSpan w:val="2"/>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color w:val="000000"/>
                <w:sz w:val="18"/>
                <w:szCs w:val="18"/>
              </w:rPr>
            </w:pPr>
          </w:p>
        </w:tc>
        <w:tc>
          <w:tcPr>
            <w:tcW w:w="1143"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接送需求</w:t>
            </w:r>
          </w:p>
        </w:tc>
        <w:tc>
          <w:tcPr>
            <w:tcW w:w="1504"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color w:val="000000"/>
                <w:sz w:val="18"/>
                <w:szCs w:val="18"/>
              </w:rPr>
            </w:pPr>
          </w:p>
        </w:tc>
        <w:tc>
          <w:tcPr>
            <w:tcW w:w="1144"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color w:val="000000"/>
                <w:sz w:val="18"/>
                <w:szCs w:val="18"/>
              </w:rPr>
            </w:pPr>
            <w:r>
              <w:rPr>
                <w:rFonts w:hint="eastAsia" w:ascii="宋体" w:hAnsi="宋体" w:cs="宋体"/>
                <w:color w:val="000000"/>
                <w:sz w:val="18"/>
                <w:szCs w:val="18"/>
              </w:rPr>
              <w:t>有无服药</w:t>
            </w:r>
          </w:p>
        </w:tc>
        <w:tc>
          <w:tcPr>
            <w:tcW w:w="1791" w:type="dxa"/>
            <w:gridSpan w:val="2"/>
            <w:tcBorders>
              <w:top w:val="single" w:color="auto" w:sz="4" w:space="0"/>
              <w:left w:val="single" w:color="auto" w:sz="4" w:space="0"/>
              <w:bottom w:val="single" w:color="auto" w:sz="4" w:space="0"/>
              <w:right w:val="single" w:color="auto" w:sz="8" w:space="0"/>
            </w:tcBorders>
            <w:noWrap/>
            <w:vAlign w:val="center"/>
          </w:tcPr>
          <w:p>
            <w:pPr>
              <w:jc w:val="center"/>
              <w:rPr>
                <w:rFonts w:ascii="宋体" w:hAnsi="宋体" w:cs="宋体"/>
                <w:color w:val="000000"/>
                <w:sz w:val="18"/>
                <w:szCs w:val="18"/>
              </w:rPr>
            </w:pPr>
          </w:p>
        </w:tc>
      </w:tr>
      <w:tr>
        <w:tblPrEx>
          <w:tblCellMar>
            <w:top w:w="15" w:type="dxa"/>
            <w:left w:w="15" w:type="dxa"/>
            <w:bottom w:w="15" w:type="dxa"/>
            <w:right w:w="15" w:type="dxa"/>
          </w:tblCellMar>
        </w:tblPrEx>
        <w:trPr>
          <w:trHeight w:val="408" w:hRule="atLeast"/>
        </w:trPr>
        <w:tc>
          <w:tcPr>
            <w:tcW w:w="1240" w:type="dxa"/>
            <w:tcBorders>
              <w:top w:val="single" w:color="000000" w:sz="4" w:space="0"/>
              <w:left w:val="single" w:color="auto" w:sz="8" w:space="0"/>
              <w:bottom w:val="single" w:color="000000" w:sz="4" w:space="0"/>
              <w:right w:val="single" w:color="auto" w:sz="4" w:space="0"/>
            </w:tcBorders>
            <w:noWrap/>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过往病史</w:t>
            </w:r>
          </w:p>
        </w:tc>
        <w:tc>
          <w:tcPr>
            <w:tcW w:w="2563" w:type="dxa"/>
            <w:gridSpan w:val="2"/>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sz w:val="18"/>
                <w:szCs w:val="18"/>
              </w:rPr>
            </w:pPr>
          </w:p>
        </w:tc>
        <w:tc>
          <w:tcPr>
            <w:tcW w:w="1143"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过敏史</w:t>
            </w:r>
          </w:p>
        </w:tc>
        <w:tc>
          <w:tcPr>
            <w:tcW w:w="1504"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sz w:val="18"/>
                <w:szCs w:val="18"/>
              </w:rPr>
            </w:pPr>
          </w:p>
        </w:tc>
        <w:tc>
          <w:tcPr>
            <w:tcW w:w="1144"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sz w:val="18"/>
                <w:szCs w:val="18"/>
              </w:rPr>
            </w:pPr>
            <w:r>
              <w:rPr>
                <w:rFonts w:hint="eastAsia" w:ascii="宋体" w:hAnsi="宋体" w:cs="宋体"/>
                <w:sz w:val="18"/>
                <w:szCs w:val="18"/>
              </w:rPr>
              <w:t>食物禁忌</w:t>
            </w:r>
          </w:p>
        </w:tc>
        <w:tc>
          <w:tcPr>
            <w:tcW w:w="1791" w:type="dxa"/>
            <w:gridSpan w:val="2"/>
            <w:tcBorders>
              <w:top w:val="single" w:color="auto" w:sz="4" w:space="0"/>
              <w:left w:val="single" w:color="auto" w:sz="4" w:space="0"/>
              <w:bottom w:val="single" w:color="auto" w:sz="4" w:space="0"/>
              <w:right w:val="single" w:color="auto" w:sz="8" w:space="0"/>
            </w:tcBorders>
            <w:noWrap/>
            <w:vAlign w:val="center"/>
          </w:tcPr>
          <w:p>
            <w:pPr>
              <w:jc w:val="center"/>
              <w:rPr>
                <w:rFonts w:ascii="宋体" w:hAnsi="宋体" w:cs="宋体"/>
                <w:sz w:val="18"/>
                <w:szCs w:val="18"/>
              </w:rPr>
            </w:pPr>
          </w:p>
        </w:tc>
      </w:tr>
      <w:tr>
        <w:tblPrEx>
          <w:tblCellMar>
            <w:top w:w="15" w:type="dxa"/>
            <w:left w:w="15" w:type="dxa"/>
            <w:bottom w:w="15" w:type="dxa"/>
            <w:right w:w="15" w:type="dxa"/>
          </w:tblCellMar>
        </w:tblPrEx>
        <w:trPr>
          <w:trHeight w:val="408" w:hRule="atLeast"/>
        </w:trPr>
        <w:tc>
          <w:tcPr>
            <w:tcW w:w="1240" w:type="dxa"/>
            <w:tcBorders>
              <w:top w:val="single" w:color="000000" w:sz="4" w:space="0"/>
              <w:left w:val="single" w:color="auto" w:sz="8" w:space="0"/>
              <w:bottom w:val="single" w:color="000000" w:sz="4" w:space="0"/>
              <w:right w:val="single" w:color="auto" w:sz="4" w:space="0"/>
            </w:tcBorders>
            <w:noWrap/>
            <w:vAlign w:val="center"/>
          </w:tcPr>
          <w:p>
            <w:pPr>
              <w:widowControl/>
              <w:jc w:val="center"/>
              <w:textAlignment w:val="center"/>
              <w:rPr>
                <w:rFonts w:ascii="宋体" w:hAnsi="宋体" w:cs="宋体"/>
                <w:kern w:val="0"/>
                <w:sz w:val="18"/>
                <w:szCs w:val="18"/>
              </w:rPr>
            </w:pPr>
            <w:r>
              <w:rPr>
                <w:rFonts w:hint="eastAsia" w:ascii="宋体" w:hAnsi="宋体" w:cs="宋体"/>
                <w:kern w:val="0"/>
                <w:sz w:val="18"/>
                <w:szCs w:val="18"/>
              </w:rPr>
              <w:t>其他</w:t>
            </w:r>
          </w:p>
        </w:tc>
        <w:tc>
          <w:tcPr>
            <w:tcW w:w="8145" w:type="dxa"/>
            <w:gridSpan w:val="7"/>
            <w:tcBorders>
              <w:top w:val="single" w:color="auto" w:sz="4" w:space="0"/>
              <w:left w:val="single" w:color="auto" w:sz="4" w:space="0"/>
              <w:bottom w:val="single" w:color="auto" w:sz="4" w:space="0"/>
              <w:right w:val="single" w:color="auto" w:sz="8" w:space="0"/>
            </w:tcBorders>
            <w:noWrap/>
            <w:vAlign w:val="center"/>
          </w:tcPr>
          <w:p>
            <w:pPr>
              <w:jc w:val="center"/>
              <w:rPr>
                <w:rFonts w:ascii="宋体" w:hAnsi="宋体" w:cs="宋体"/>
                <w:sz w:val="18"/>
                <w:szCs w:val="18"/>
              </w:rPr>
            </w:pPr>
          </w:p>
        </w:tc>
      </w:tr>
      <w:tr>
        <w:tblPrEx>
          <w:tblCellMar>
            <w:top w:w="15" w:type="dxa"/>
            <w:left w:w="15" w:type="dxa"/>
            <w:bottom w:w="15" w:type="dxa"/>
            <w:right w:w="15" w:type="dxa"/>
          </w:tblCellMar>
        </w:tblPrEx>
        <w:trPr>
          <w:trHeight w:val="408" w:hRule="atLeast"/>
        </w:trPr>
        <w:tc>
          <w:tcPr>
            <w:tcW w:w="9385" w:type="dxa"/>
            <w:gridSpan w:val="8"/>
            <w:tcBorders>
              <w:top w:val="single" w:color="000000" w:sz="4" w:space="0"/>
              <w:left w:val="single" w:color="auto" w:sz="8" w:space="0"/>
              <w:bottom w:val="single" w:color="000000" w:sz="4" w:space="0"/>
              <w:right w:val="single" w:color="auto" w:sz="8" w:space="0"/>
            </w:tcBorders>
            <w:noWrap/>
            <w:vAlign w:val="center"/>
          </w:tcPr>
          <w:p>
            <w:pPr>
              <w:widowControl/>
              <w:jc w:val="center"/>
              <w:textAlignment w:val="center"/>
              <w:rPr>
                <w:rFonts w:ascii="宋体" w:hAnsi="宋体" w:cs="宋体"/>
                <w:b/>
                <w:color w:val="000000"/>
                <w:sz w:val="18"/>
                <w:szCs w:val="18"/>
              </w:rPr>
            </w:pPr>
            <w:r>
              <w:rPr>
                <w:rFonts w:hint="eastAsia" w:ascii="宋体" w:hAnsi="宋体" w:cs="宋体"/>
                <w:b/>
                <w:color w:val="000000"/>
                <w:kern w:val="0"/>
                <w:sz w:val="18"/>
                <w:szCs w:val="18"/>
              </w:rPr>
              <w:t>四、评估意见</w:t>
            </w:r>
          </w:p>
        </w:tc>
      </w:tr>
      <w:tr>
        <w:tblPrEx>
          <w:tblCellMar>
            <w:top w:w="15" w:type="dxa"/>
            <w:left w:w="15" w:type="dxa"/>
            <w:bottom w:w="15" w:type="dxa"/>
            <w:right w:w="15" w:type="dxa"/>
          </w:tblCellMar>
        </w:tblPrEx>
        <w:trPr>
          <w:trHeight w:val="1016" w:hRule="atLeast"/>
        </w:trPr>
        <w:tc>
          <w:tcPr>
            <w:tcW w:w="1240" w:type="dxa"/>
            <w:vMerge w:val="restart"/>
            <w:tcBorders>
              <w:top w:val="single" w:color="000000" w:sz="4" w:space="0"/>
              <w:left w:val="single" w:color="auto" w:sz="8"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综合评估</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意见</w:t>
            </w:r>
          </w:p>
        </w:tc>
        <w:tc>
          <w:tcPr>
            <w:tcW w:w="8145" w:type="dxa"/>
            <w:gridSpan w:val="7"/>
            <w:vMerge w:val="restart"/>
            <w:tcBorders>
              <w:top w:val="single" w:color="000000" w:sz="4" w:space="0"/>
              <w:left w:val="single" w:color="000000" w:sz="4" w:space="0"/>
              <w:bottom w:val="single" w:color="000000" w:sz="4" w:space="0"/>
              <w:right w:val="single" w:color="auto" w:sz="8" w:space="0"/>
            </w:tcBorders>
            <w:noWrap/>
            <w:vAlign w:val="center"/>
          </w:tcPr>
          <w:p>
            <w:pPr>
              <w:jc w:val="center"/>
              <w:rPr>
                <w:rFonts w:ascii="宋体" w:hAnsi="宋体" w:cs="宋体"/>
                <w:color w:val="000000"/>
                <w:sz w:val="18"/>
                <w:szCs w:val="18"/>
              </w:rPr>
            </w:pPr>
          </w:p>
          <w:p>
            <w:pPr>
              <w:rPr>
                <w:rFonts w:ascii="宋体" w:hAnsi="宋体" w:cs="宋体"/>
                <w:sz w:val="18"/>
                <w:szCs w:val="18"/>
              </w:rPr>
            </w:pPr>
            <w:r>
              <w:rPr>
                <w:rFonts w:hint="eastAsia" w:ascii="宋体" w:hAnsi="宋体" w:cs="宋体"/>
                <w:sz w:val="18"/>
                <w:szCs w:val="18"/>
              </w:rPr>
              <w:t>（这里要说明ADL的分值）</w:t>
            </w:r>
          </w:p>
          <w:p>
            <w:pPr>
              <w:rPr>
                <w:rFonts w:ascii="宋体" w:hAnsi="宋体" w:cs="宋体"/>
                <w:color w:val="000000"/>
                <w:sz w:val="18"/>
                <w:szCs w:val="18"/>
              </w:rPr>
            </w:pPr>
          </w:p>
          <w:p>
            <w:pPr>
              <w:rPr>
                <w:rFonts w:ascii="宋体" w:hAnsi="宋体" w:cs="宋体"/>
                <w:color w:val="000000"/>
                <w:sz w:val="18"/>
                <w:szCs w:val="18"/>
              </w:rPr>
            </w:pPr>
          </w:p>
          <w:p>
            <w:pPr>
              <w:jc w:val="left"/>
              <w:rPr>
                <w:rFonts w:ascii="宋体" w:hAnsi="宋体" w:cs="宋体"/>
                <w:color w:val="000000"/>
                <w:sz w:val="18"/>
                <w:szCs w:val="18"/>
              </w:rPr>
            </w:pPr>
            <w:r>
              <w:rPr>
                <w:rFonts w:hint="eastAsia" w:ascii="宋体" w:hAnsi="宋体" w:cs="宋体"/>
                <w:color w:val="000000"/>
                <w:kern w:val="0"/>
                <w:sz w:val="18"/>
                <w:szCs w:val="18"/>
              </w:rPr>
              <w:t xml:space="preserve">  评估人：              填表日期：           年     月     日</w:t>
            </w:r>
          </w:p>
        </w:tc>
      </w:tr>
      <w:tr>
        <w:tblPrEx>
          <w:tblCellMar>
            <w:top w:w="15" w:type="dxa"/>
            <w:left w:w="15" w:type="dxa"/>
            <w:bottom w:w="15" w:type="dxa"/>
            <w:right w:w="15" w:type="dxa"/>
          </w:tblCellMar>
        </w:tblPrEx>
        <w:trPr>
          <w:trHeight w:val="312" w:hRule="atLeast"/>
        </w:trPr>
        <w:tc>
          <w:tcPr>
            <w:tcW w:w="1240" w:type="dxa"/>
            <w:vMerge w:val="continue"/>
            <w:tcBorders>
              <w:top w:val="single" w:color="000000" w:sz="4" w:space="0"/>
              <w:left w:val="single" w:color="auto" w:sz="8" w:space="0"/>
              <w:bottom w:val="single" w:color="auto" w:sz="8" w:space="0"/>
              <w:right w:val="single" w:color="000000" w:sz="4" w:space="0"/>
            </w:tcBorders>
            <w:noWrap/>
            <w:vAlign w:val="center"/>
          </w:tcPr>
          <w:p>
            <w:pPr>
              <w:jc w:val="center"/>
              <w:rPr>
                <w:rFonts w:ascii="宋体" w:hAnsi="宋体" w:cs="宋体"/>
                <w:color w:val="000000"/>
                <w:sz w:val="18"/>
                <w:szCs w:val="18"/>
              </w:rPr>
            </w:pPr>
          </w:p>
        </w:tc>
        <w:tc>
          <w:tcPr>
            <w:tcW w:w="8145" w:type="dxa"/>
            <w:gridSpan w:val="7"/>
            <w:vMerge w:val="continue"/>
            <w:tcBorders>
              <w:top w:val="single" w:color="000000" w:sz="4" w:space="0"/>
              <w:left w:val="single" w:color="000000" w:sz="4" w:space="0"/>
              <w:bottom w:val="single" w:color="auto" w:sz="8" w:space="0"/>
              <w:right w:val="single" w:color="auto" w:sz="8" w:space="0"/>
            </w:tcBorders>
            <w:noWrap/>
            <w:vAlign w:val="center"/>
          </w:tcPr>
          <w:p>
            <w:pPr>
              <w:jc w:val="center"/>
              <w:rPr>
                <w:rFonts w:ascii="宋体" w:hAnsi="宋体" w:cs="宋体"/>
                <w:color w:val="000000"/>
                <w:sz w:val="18"/>
                <w:szCs w:val="18"/>
              </w:rPr>
            </w:pPr>
          </w:p>
        </w:tc>
      </w:tr>
    </w:tbl>
    <w:p>
      <w:pPr>
        <w:pStyle w:val="30"/>
        <w:ind w:firstLine="0" w:firstLineChars="0"/>
        <w:jc w:val="left"/>
        <w:rPr>
          <w:rFonts w:hAnsi="宋体" w:cs="宋体"/>
          <w:sz w:val="18"/>
          <w:szCs w:val="18"/>
        </w:rPr>
      </w:pPr>
      <w:r>
        <w:rPr>
          <w:rFonts w:hint="eastAsia" w:hAnsi="宋体" w:cs="宋体"/>
          <w:sz w:val="18"/>
          <w:szCs w:val="18"/>
        </w:rPr>
        <w:t>填表说明：该表为学员申请区康园中心服务时候填写，并结合ADL量表结果作为是否招收该学员的参考标准。</w:t>
      </w:r>
    </w:p>
    <w:p>
      <w:pPr>
        <w:pStyle w:val="40"/>
        <w:numPr>
          <w:ilvl w:val="0"/>
          <w:numId w:val="0"/>
        </w:numPr>
        <w:spacing w:before="156" w:after="156"/>
      </w:pPr>
    </w:p>
    <w:p>
      <w:pPr>
        <w:pStyle w:val="40"/>
        <w:numPr>
          <w:ilvl w:val="0"/>
          <w:numId w:val="0"/>
        </w:numPr>
        <w:spacing w:before="156" w:after="156"/>
      </w:pPr>
    </w:p>
    <w:p>
      <w:pPr>
        <w:pStyle w:val="40"/>
        <w:numPr>
          <w:ilvl w:val="0"/>
          <w:numId w:val="0"/>
        </w:numPr>
        <w:spacing w:before="156" w:after="156"/>
      </w:pPr>
    </w:p>
    <w:p>
      <w:pPr>
        <w:widowControl/>
        <w:spacing w:beforeLines="50" w:afterLines="50" w:line="360" w:lineRule="auto"/>
        <w:jc w:val="center"/>
        <w:textAlignment w:val="center"/>
        <w:rPr>
          <w:rFonts w:ascii="宋体" w:hAnsi="宋体" w:cs="宋体"/>
          <w:b/>
          <w:bCs/>
          <w:kern w:val="0"/>
          <w:sz w:val="28"/>
          <w:szCs w:val="28"/>
        </w:rPr>
      </w:pPr>
      <w:r>
        <w:rPr>
          <w:rFonts w:hint="eastAsia" w:ascii="宋体" w:hAnsi="宋体" w:cs="宋体"/>
          <w:b/>
          <w:bCs/>
          <w:kern w:val="0"/>
          <w:sz w:val="28"/>
          <w:szCs w:val="28"/>
        </w:rPr>
        <w:t>学员ADL量表（Barthel）指数得分记录统计表</w:t>
      </w:r>
    </w:p>
    <w:p>
      <w:pPr>
        <w:widowControl/>
        <w:spacing w:line="480" w:lineRule="auto"/>
        <w:jc w:val="left"/>
        <w:rPr>
          <w:rFonts w:ascii="宋体" w:hAnsi="宋体" w:cs="宋体"/>
          <w:b/>
          <w:bCs/>
          <w:kern w:val="0"/>
          <w:sz w:val="18"/>
          <w:szCs w:val="18"/>
        </w:rPr>
      </w:pPr>
      <w:r>
        <w:rPr>
          <w:rFonts w:hint="eastAsia" w:ascii="宋体" w:hAnsi="宋体" w:cs="宋体"/>
          <w:b/>
          <w:bCs/>
          <w:kern w:val="0"/>
          <w:sz w:val="18"/>
          <w:szCs w:val="18"/>
        </w:rPr>
        <w:t>姓名：                                     年龄：                                  残疾类别：</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39"/>
        <w:gridCol w:w="977"/>
        <w:gridCol w:w="2148"/>
        <w:gridCol w:w="1953"/>
        <w:gridCol w:w="976"/>
        <w:gridCol w:w="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539" w:type="dxa"/>
            <w:noWrap/>
            <w:vAlign w:val="center"/>
          </w:tcPr>
          <w:p>
            <w:pPr>
              <w:jc w:val="left"/>
              <w:rPr>
                <w:rFonts w:ascii="宋体" w:hAnsi="宋体" w:cs="宋体"/>
                <w:b/>
                <w:bCs/>
                <w:sz w:val="18"/>
                <w:szCs w:val="18"/>
              </w:rPr>
            </w:pPr>
            <w:r>
              <w:rPr>
                <w:rFonts w:hint="eastAsia" w:ascii="宋体" w:hAnsi="宋体" w:cs="宋体"/>
                <w:b/>
                <w:bCs/>
                <w:sz w:val="18"/>
                <w:szCs w:val="18"/>
              </w:rPr>
              <w:t>项    目</w:t>
            </w:r>
          </w:p>
        </w:tc>
        <w:tc>
          <w:tcPr>
            <w:tcW w:w="977" w:type="dxa"/>
            <w:noWrap/>
            <w:vAlign w:val="center"/>
          </w:tcPr>
          <w:p>
            <w:pPr>
              <w:jc w:val="left"/>
              <w:rPr>
                <w:rFonts w:ascii="宋体" w:hAnsi="宋体" w:cs="宋体"/>
                <w:b/>
                <w:bCs/>
                <w:sz w:val="18"/>
                <w:szCs w:val="18"/>
              </w:rPr>
            </w:pPr>
            <w:r>
              <w:rPr>
                <w:rFonts w:hint="eastAsia" w:ascii="宋体" w:hAnsi="宋体" w:cs="宋体"/>
                <w:b/>
                <w:bCs/>
                <w:sz w:val="18"/>
                <w:szCs w:val="18"/>
              </w:rPr>
              <w:t>独立</w:t>
            </w:r>
          </w:p>
        </w:tc>
        <w:tc>
          <w:tcPr>
            <w:tcW w:w="2148" w:type="dxa"/>
            <w:noWrap/>
            <w:vAlign w:val="center"/>
          </w:tcPr>
          <w:p>
            <w:pPr>
              <w:jc w:val="left"/>
              <w:rPr>
                <w:rFonts w:ascii="宋体" w:hAnsi="宋体" w:cs="宋体"/>
                <w:b/>
                <w:bCs/>
                <w:sz w:val="18"/>
                <w:szCs w:val="18"/>
              </w:rPr>
            </w:pPr>
            <w:r>
              <w:rPr>
                <w:rFonts w:hint="eastAsia" w:ascii="宋体" w:hAnsi="宋体" w:cs="宋体"/>
                <w:b/>
                <w:bCs/>
                <w:sz w:val="18"/>
                <w:szCs w:val="18"/>
              </w:rPr>
              <w:t>部分独立或需部分帮助</w:t>
            </w:r>
          </w:p>
        </w:tc>
        <w:tc>
          <w:tcPr>
            <w:tcW w:w="1953" w:type="dxa"/>
            <w:noWrap/>
            <w:vAlign w:val="center"/>
          </w:tcPr>
          <w:p>
            <w:pPr>
              <w:jc w:val="left"/>
              <w:rPr>
                <w:rFonts w:ascii="宋体" w:hAnsi="宋体" w:cs="宋体"/>
                <w:b/>
                <w:bCs/>
                <w:sz w:val="18"/>
                <w:szCs w:val="18"/>
              </w:rPr>
            </w:pPr>
            <w:r>
              <w:rPr>
                <w:rFonts w:hint="eastAsia" w:ascii="宋体" w:hAnsi="宋体" w:cs="宋体"/>
                <w:b/>
                <w:bCs/>
                <w:sz w:val="18"/>
                <w:szCs w:val="18"/>
              </w:rPr>
              <w:t>需极大帮助</w:t>
            </w:r>
          </w:p>
        </w:tc>
        <w:tc>
          <w:tcPr>
            <w:tcW w:w="976" w:type="dxa"/>
            <w:noWrap/>
            <w:vAlign w:val="center"/>
          </w:tcPr>
          <w:p>
            <w:pPr>
              <w:jc w:val="left"/>
              <w:rPr>
                <w:rFonts w:ascii="宋体" w:hAnsi="宋体" w:cs="宋体"/>
                <w:b/>
                <w:bCs/>
                <w:sz w:val="18"/>
                <w:szCs w:val="18"/>
              </w:rPr>
            </w:pPr>
            <w:r>
              <w:rPr>
                <w:rFonts w:hint="eastAsia" w:ascii="宋体" w:hAnsi="宋体" w:cs="宋体"/>
                <w:b/>
                <w:bCs/>
                <w:sz w:val="18"/>
                <w:szCs w:val="18"/>
              </w:rPr>
              <w:t>完全需要帮助</w:t>
            </w:r>
          </w:p>
        </w:tc>
        <w:tc>
          <w:tcPr>
            <w:tcW w:w="977" w:type="dxa"/>
            <w:noWrap/>
            <w:vAlign w:val="center"/>
          </w:tcPr>
          <w:p>
            <w:pPr>
              <w:jc w:val="left"/>
              <w:rPr>
                <w:rFonts w:ascii="宋体" w:hAnsi="宋体" w:cs="宋体"/>
                <w:b/>
                <w:bCs/>
                <w:sz w:val="18"/>
                <w:szCs w:val="18"/>
              </w:rPr>
            </w:pPr>
            <w:r>
              <w:rPr>
                <w:rFonts w:hint="eastAsia" w:ascii="宋体" w:hAnsi="宋体" w:cs="宋体"/>
                <w:b/>
                <w:bCs/>
                <w:sz w:val="18"/>
                <w:szCs w:val="18"/>
              </w:rPr>
              <w:t>评估结果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539" w:type="dxa"/>
            <w:noWrap/>
          </w:tcPr>
          <w:p>
            <w:pPr>
              <w:jc w:val="left"/>
              <w:rPr>
                <w:rFonts w:ascii="宋体" w:hAnsi="宋体" w:cs="宋体"/>
                <w:sz w:val="18"/>
                <w:szCs w:val="18"/>
              </w:rPr>
            </w:pPr>
            <w:r>
              <w:rPr>
                <w:rFonts w:hint="eastAsia" w:ascii="宋体" w:hAnsi="宋体" w:cs="宋体"/>
                <w:sz w:val="18"/>
                <w:szCs w:val="18"/>
              </w:rPr>
              <w:t>1、进餐</w:t>
            </w:r>
          </w:p>
        </w:tc>
        <w:tc>
          <w:tcPr>
            <w:tcW w:w="977" w:type="dxa"/>
            <w:noWrap/>
            <w:vAlign w:val="center"/>
          </w:tcPr>
          <w:p>
            <w:pPr>
              <w:jc w:val="left"/>
              <w:rPr>
                <w:rFonts w:ascii="宋体" w:hAnsi="宋体" w:cs="宋体"/>
                <w:sz w:val="18"/>
                <w:szCs w:val="18"/>
              </w:rPr>
            </w:pPr>
            <w:r>
              <w:rPr>
                <w:rFonts w:hint="eastAsia" w:ascii="宋体" w:hAnsi="宋体" w:cs="宋体"/>
                <w:sz w:val="18"/>
                <w:szCs w:val="18"/>
              </w:rPr>
              <w:t>10</w:t>
            </w:r>
          </w:p>
        </w:tc>
        <w:tc>
          <w:tcPr>
            <w:tcW w:w="2148" w:type="dxa"/>
            <w:noWrap/>
            <w:vAlign w:val="center"/>
          </w:tcPr>
          <w:p>
            <w:pPr>
              <w:jc w:val="left"/>
              <w:rPr>
                <w:rFonts w:ascii="宋体" w:hAnsi="宋体" w:cs="宋体"/>
                <w:sz w:val="18"/>
                <w:szCs w:val="18"/>
              </w:rPr>
            </w:pPr>
            <w:r>
              <w:rPr>
                <w:rFonts w:hint="eastAsia" w:ascii="宋体" w:hAnsi="宋体" w:cs="宋体"/>
                <w:sz w:val="18"/>
                <w:szCs w:val="18"/>
              </w:rPr>
              <w:t>5</w:t>
            </w:r>
          </w:p>
        </w:tc>
        <w:tc>
          <w:tcPr>
            <w:tcW w:w="1953" w:type="dxa"/>
            <w:noWrap/>
            <w:vAlign w:val="center"/>
          </w:tcPr>
          <w:p>
            <w:pPr>
              <w:jc w:val="left"/>
              <w:rPr>
                <w:rFonts w:ascii="宋体" w:hAnsi="宋体" w:cs="宋体"/>
                <w:sz w:val="18"/>
                <w:szCs w:val="18"/>
              </w:rPr>
            </w:pPr>
            <w:r>
              <w:rPr>
                <w:rFonts w:hint="eastAsia" w:ascii="宋体" w:hAnsi="宋体" w:cs="宋体"/>
                <w:sz w:val="18"/>
                <w:szCs w:val="18"/>
              </w:rPr>
              <w:t>0</w:t>
            </w:r>
          </w:p>
        </w:tc>
        <w:tc>
          <w:tcPr>
            <w:tcW w:w="976" w:type="dxa"/>
            <w:noWrap/>
            <w:vAlign w:val="center"/>
          </w:tcPr>
          <w:p>
            <w:pPr>
              <w:jc w:val="left"/>
              <w:rPr>
                <w:rFonts w:ascii="宋体" w:hAnsi="宋体" w:cs="宋体"/>
                <w:sz w:val="18"/>
                <w:szCs w:val="18"/>
              </w:rPr>
            </w:pPr>
            <w:r>
              <w:rPr>
                <w:rFonts w:hint="eastAsia" w:ascii="宋体" w:hAnsi="宋体" w:cs="宋体"/>
                <w:sz w:val="18"/>
                <w:szCs w:val="18"/>
              </w:rPr>
              <w:t>0</w:t>
            </w:r>
          </w:p>
        </w:tc>
        <w:tc>
          <w:tcPr>
            <w:tcW w:w="977" w:type="dxa"/>
            <w:noWrap/>
            <w:vAlign w:val="center"/>
          </w:tcPr>
          <w:p>
            <w:pPr>
              <w:jc w:val="left"/>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539" w:type="dxa"/>
            <w:noWrap/>
          </w:tcPr>
          <w:p>
            <w:pPr>
              <w:jc w:val="left"/>
              <w:rPr>
                <w:rFonts w:ascii="宋体" w:hAnsi="宋体" w:cs="宋体"/>
                <w:sz w:val="18"/>
                <w:szCs w:val="18"/>
              </w:rPr>
            </w:pPr>
            <w:r>
              <w:rPr>
                <w:rFonts w:hint="eastAsia" w:ascii="宋体" w:hAnsi="宋体" w:cs="宋体"/>
                <w:sz w:val="18"/>
                <w:szCs w:val="18"/>
              </w:rPr>
              <w:t>2、洗澡</w:t>
            </w:r>
          </w:p>
        </w:tc>
        <w:tc>
          <w:tcPr>
            <w:tcW w:w="977" w:type="dxa"/>
            <w:noWrap/>
            <w:vAlign w:val="center"/>
          </w:tcPr>
          <w:p>
            <w:pPr>
              <w:jc w:val="left"/>
              <w:rPr>
                <w:rFonts w:ascii="宋体" w:hAnsi="宋体" w:cs="宋体"/>
                <w:sz w:val="18"/>
                <w:szCs w:val="18"/>
              </w:rPr>
            </w:pPr>
            <w:r>
              <w:rPr>
                <w:rFonts w:hint="eastAsia" w:ascii="宋体" w:hAnsi="宋体" w:cs="宋体"/>
                <w:sz w:val="18"/>
                <w:szCs w:val="18"/>
              </w:rPr>
              <w:t>5</w:t>
            </w:r>
          </w:p>
        </w:tc>
        <w:tc>
          <w:tcPr>
            <w:tcW w:w="2148" w:type="dxa"/>
            <w:noWrap/>
            <w:vAlign w:val="center"/>
          </w:tcPr>
          <w:p>
            <w:pPr>
              <w:jc w:val="left"/>
              <w:rPr>
                <w:rFonts w:ascii="宋体" w:hAnsi="宋体" w:cs="宋体"/>
                <w:sz w:val="18"/>
                <w:szCs w:val="18"/>
              </w:rPr>
            </w:pPr>
            <w:r>
              <w:rPr>
                <w:rFonts w:hint="eastAsia" w:ascii="宋体" w:hAnsi="宋体" w:cs="宋体"/>
                <w:sz w:val="18"/>
                <w:szCs w:val="18"/>
              </w:rPr>
              <w:t>0</w:t>
            </w:r>
          </w:p>
        </w:tc>
        <w:tc>
          <w:tcPr>
            <w:tcW w:w="1953" w:type="dxa"/>
            <w:noWrap/>
            <w:vAlign w:val="center"/>
          </w:tcPr>
          <w:p>
            <w:pPr>
              <w:jc w:val="left"/>
              <w:rPr>
                <w:rFonts w:ascii="宋体" w:hAnsi="宋体" w:cs="宋体"/>
                <w:sz w:val="18"/>
                <w:szCs w:val="18"/>
              </w:rPr>
            </w:pPr>
            <w:r>
              <w:rPr>
                <w:rFonts w:hint="eastAsia" w:ascii="宋体" w:hAnsi="宋体" w:cs="宋体"/>
                <w:sz w:val="18"/>
                <w:szCs w:val="18"/>
              </w:rPr>
              <w:t>0</w:t>
            </w:r>
          </w:p>
        </w:tc>
        <w:tc>
          <w:tcPr>
            <w:tcW w:w="976" w:type="dxa"/>
            <w:noWrap/>
            <w:vAlign w:val="center"/>
          </w:tcPr>
          <w:p>
            <w:pPr>
              <w:jc w:val="left"/>
              <w:rPr>
                <w:rFonts w:ascii="宋体" w:hAnsi="宋体" w:cs="宋体"/>
                <w:sz w:val="18"/>
                <w:szCs w:val="18"/>
              </w:rPr>
            </w:pPr>
            <w:r>
              <w:rPr>
                <w:rFonts w:hint="eastAsia" w:ascii="宋体" w:hAnsi="宋体" w:cs="宋体"/>
                <w:sz w:val="18"/>
                <w:szCs w:val="18"/>
              </w:rPr>
              <w:t>0</w:t>
            </w:r>
          </w:p>
        </w:tc>
        <w:tc>
          <w:tcPr>
            <w:tcW w:w="977" w:type="dxa"/>
            <w:noWrap/>
            <w:vAlign w:val="center"/>
          </w:tcPr>
          <w:p>
            <w:pPr>
              <w:jc w:val="left"/>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2539" w:type="dxa"/>
            <w:noWrap/>
          </w:tcPr>
          <w:p>
            <w:pPr>
              <w:jc w:val="left"/>
              <w:rPr>
                <w:rFonts w:ascii="宋体" w:hAnsi="宋体" w:cs="宋体"/>
                <w:sz w:val="18"/>
                <w:szCs w:val="18"/>
              </w:rPr>
            </w:pPr>
            <w:r>
              <w:rPr>
                <w:rFonts w:hint="eastAsia" w:ascii="宋体" w:hAnsi="宋体" w:cs="宋体"/>
                <w:sz w:val="18"/>
                <w:szCs w:val="18"/>
              </w:rPr>
              <w:t>3、修饰（洗脸、刷牙、刮脸、梳头</w:t>
            </w:r>
          </w:p>
        </w:tc>
        <w:tc>
          <w:tcPr>
            <w:tcW w:w="977" w:type="dxa"/>
            <w:noWrap/>
            <w:vAlign w:val="center"/>
          </w:tcPr>
          <w:p>
            <w:pPr>
              <w:jc w:val="left"/>
              <w:rPr>
                <w:rFonts w:ascii="宋体" w:hAnsi="宋体" w:cs="宋体"/>
                <w:sz w:val="18"/>
                <w:szCs w:val="18"/>
              </w:rPr>
            </w:pPr>
            <w:r>
              <w:rPr>
                <w:rFonts w:hint="eastAsia" w:ascii="宋体" w:hAnsi="宋体" w:cs="宋体"/>
                <w:sz w:val="18"/>
                <w:szCs w:val="18"/>
              </w:rPr>
              <w:t>5</w:t>
            </w:r>
          </w:p>
        </w:tc>
        <w:tc>
          <w:tcPr>
            <w:tcW w:w="2148" w:type="dxa"/>
            <w:noWrap/>
            <w:vAlign w:val="center"/>
          </w:tcPr>
          <w:p>
            <w:pPr>
              <w:jc w:val="left"/>
              <w:rPr>
                <w:rFonts w:ascii="宋体" w:hAnsi="宋体" w:cs="宋体"/>
                <w:sz w:val="18"/>
                <w:szCs w:val="18"/>
              </w:rPr>
            </w:pPr>
            <w:r>
              <w:rPr>
                <w:rFonts w:hint="eastAsia" w:ascii="宋体" w:hAnsi="宋体" w:cs="宋体"/>
                <w:sz w:val="18"/>
                <w:szCs w:val="18"/>
              </w:rPr>
              <w:t>0</w:t>
            </w:r>
          </w:p>
        </w:tc>
        <w:tc>
          <w:tcPr>
            <w:tcW w:w="1953" w:type="dxa"/>
            <w:noWrap/>
            <w:vAlign w:val="center"/>
          </w:tcPr>
          <w:p>
            <w:pPr>
              <w:jc w:val="left"/>
              <w:rPr>
                <w:rFonts w:ascii="宋体" w:hAnsi="宋体" w:cs="宋体"/>
                <w:sz w:val="18"/>
                <w:szCs w:val="18"/>
              </w:rPr>
            </w:pPr>
            <w:r>
              <w:rPr>
                <w:rFonts w:hint="eastAsia" w:ascii="宋体" w:hAnsi="宋体" w:cs="宋体"/>
                <w:sz w:val="18"/>
                <w:szCs w:val="18"/>
              </w:rPr>
              <w:t>0</w:t>
            </w:r>
          </w:p>
        </w:tc>
        <w:tc>
          <w:tcPr>
            <w:tcW w:w="976" w:type="dxa"/>
            <w:noWrap/>
            <w:vAlign w:val="center"/>
          </w:tcPr>
          <w:p>
            <w:pPr>
              <w:jc w:val="left"/>
              <w:rPr>
                <w:rFonts w:ascii="宋体" w:hAnsi="宋体" w:cs="宋体"/>
                <w:sz w:val="18"/>
                <w:szCs w:val="18"/>
              </w:rPr>
            </w:pPr>
            <w:r>
              <w:rPr>
                <w:rFonts w:hint="eastAsia" w:ascii="宋体" w:hAnsi="宋体" w:cs="宋体"/>
                <w:sz w:val="18"/>
                <w:szCs w:val="18"/>
              </w:rPr>
              <w:t>0</w:t>
            </w:r>
          </w:p>
        </w:tc>
        <w:tc>
          <w:tcPr>
            <w:tcW w:w="977" w:type="dxa"/>
            <w:noWrap/>
            <w:vAlign w:val="center"/>
          </w:tcPr>
          <w:p>
            <w:pPr>
              <w:jc w:val="left"/>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2539" w:type="dxa"/>
            <w:noWrap/>
          </w:tcPr>
          <w:p>
            <w:pPr>
              <w:jc w:val="left"/>
              <w:rPr>
                <w:rFonts w:ascii="宋体" w:hAnsi="宋体" w:cs="宋体"/>
                <w:sz w:val="18"/>
                <w:szCs w:val="18"/>
              </w:rPr>
            </w:pPr>
            <w:r>
              <w:rPr>
                <w:rFonts w:hint="eastAsia" w:ascii="宋体" w:hAnsi="宋体" w:cs="宋体"/>
                <w:sz w:val="18"/>
                <w:szCs w:val="18"/>
              </w:rPr>
              <w:t>4、穿衣（系鞋带、钮扣）</w:t>
            </w:r>
          </w:p>
        </w:tc>
        <w:tc>
          <w:tcPr>
            <w:tcW w:w="977" w:type="dxa"/>
            <w:noWrap/>
            <w:vAlign w:val="center"/>
          </w:tcPr>
          <w:p>
            <w:pPr>
              <w:jc w:val="left"/>
              <w:rPr>
                <w:rFonts w:ascii="宋体" w:hAnsi="宋体" w:cs="宋体"/>
                <w:sz w:val="18"/>
                <w:szCs w:val="18"/>
              </w:rPr>
            </w:pPr>
            <w:r>
              <w:rPr>
                <w:rFonts w:hint="eastAsia" w:ascii="宋体" w:hAnsi="宋体" w:cs="宋体"/>
                <w:sz w:val="18"/>
                <w:szCs w:val="18"/>
              </w:rPr>
              <w:t>10</w:t>
            </w:r>
          </w:p>
        </w:tc>
        <w:tc>
          <w:tcPr>
            <w:tcW w:w="2148" w:type="dxa"/>
            <w:noWrap/>
            <w:vAlign w:val="center"/>
          </w:tcPr>
          <w:p>
            <w:pPr>
              <w:jc w:val="left"/>
              <w:rPr>
                <w:rFonts w:ascii="宋体" w:hAnsi="宋体" w:cs="宋体"/>
                <w:sz w:val="18"/>
                <w:szCs w:val="18"/>
              </w:rPr>
            </w:pPr>
            <w:r>
              <w:rPr>
                <w:rFonts w:hint="eastAsia" w:ascii="宋体" w:hAnsi="宋体" w:cs="宋体"/>
                <w:sz w:val="18"/>
                <w:szCs w:val="18"/>
              </w:rPr>
              <w:t>5</w:t>
            </w:r>
          </w:p>
        </w:tc>
        <w:tc>
          <w:tcPr>
            <w:tcW w:w="1953" w:type="dxa"/>
            <w:noWrap/>
            <w:vAlign w:val="center"/>
          </w:tcPr>
          <w:p>
            <w:pPr>
              <w:jc w:val="left"/>
              <w:rPr>
                <w:rFonts w:ascii="宋体" w:hAnsi="宋体" w:cs="宋体"/>
                <w:sz w:val="18"/>
                <w:szCs w:val="18"/>
              </w:rPr>
            </w:pPr>
            <w:r>
              <w:rPr>
                <w:rFonts w:hint="eastAsia" w:ascii="宋体" w:hAnsi="宋体" w:cs="宋体"/>
                <w:sz w:val="18"/>
                <w:szCs w:val="18"/>
              </w:rPr>
              <w:t>0</w:t>
            </w:r>
          </w:p>
        </w:tc>
        <w:tc>
          <w:tcPr>
            <w:tcW w:w="976" w:type="dxa"/>
            <w:noWrap/>
            <w:vAlign w:val="center"/>
          </w:tcPr>
          <w:p>
            <w:pPr>
              <w:jc w:val="left"/>
              <w:rPr>
                <w:rFonts w:ascii="宋体" w:hAnsi="宋体" w:cs="宋体"/>
                <w:sz w:val="18"/>
                <w:szCs w:val="18"/>
              </w:rPr>
            </w:pPr>
            <w:r>
              <w:rPr>
                <w:rFonts w:hint="eastAsia" w:ascii="宋体" w:hAnsi="宋体" w:cs="宋体"/>
                <w:sz w:val="18"/>
                <w:szCs w:val="18"/>
              </w:rPr>
              <w:t>0</w:t>
            </w:r>
          </w:p>
        </w:tc>
        <w:tc>
          <w:tcPr>
            <w:tcW w:w="977" w:type="dxa"/>
            <w:noWrap/>
            <w:vAlign w:val="center"/>
          </w:tcPr>
          <w:p>
            <w:pPr>
              <w:jc w:val="left"/>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2539" w:type="dxa"/>
            <w:noWrap/>
          </w:tcPr>
          <w:p>
            <w:pPr>
              <w:jc w:val="left"/>
              <w:rPr>
                <w:rFonts w:ascii="宋体" w:hAnsi="宋体" w:cs="宋体"/>
                <w:sz w:val="18"/>
                <w:szCs w:val="18"/>
              </w:rPr>
            </w:pPr>
            <w:r>
              <w:rPr>
                <w:rFonts w:hint="eastAsia" w:ascii="宋体" w:hAnsi="宋体" w:cs="宋体"/>
                <w:sz w:val="18"/>
                <w:szCs w:val="18"/>
              </w:rPr>
              <w:t>5、大便</w:t>
            </w:r>
          </w:p>
        </w:tc>
        <w:tc>
          <w:tcPr>
            <w:tcW w:w="977" w:type="dxa"/>
            <w:noWrap/>
            <w:vAlign w:val="center"/>
          </w:tcPr>
          <w:p>
            <w:pPr>
              <w:jc w:val="left"/>
              <w:rPr>
                <w:rFonts w:ascii="宋体" w:hAnsi="宋体" w:cs="宋体"/>
                <w:sz w:val="18"/>
                <w:szCs w:val="18"/>
              </w:rPr>
            </w:pPr>
            <w:r>
              <w:rPr>
                <w:rFonts w:hint="eastAsia" w:ascii="宋体" w:hAnsi="宋体" w:cs="宋体"/>
                <w:sz w:val="18"/>
                <w:szCs w:val="18"/>
              </w:rPr>
              <w:t>10</w:t>
            </w:r>
          </w:p>
        </w:tc>
        <w:tc>
          <w:tcPr>
            <w:tcW w:w="2148" w:type="dxa"/>
            <w:noWrap/>
            <w:vAlign w:val="center"/>
          </w:tcPr>
          <w:p>
            <w:pPr>
              <w:jc w:val="left"/>
              <w:rPr>
                <w:rFonts w:ascii="宋体" w:hAnsi="宋体" w:cs="宋体"/>
                <w:sz w:val="18"/>
                <w:szCs w:val="18"/>
              </w:rPr>
            </w:pPr>
            <w:r>
              <w:rPr>
                <w:rFonts w:hint="eastAsia" w:ascii="宋体" w:hAnsi="宋体" w:cs="宋体"/>
                <w:sz w:val="18"/>
                <w:szCs w:val="18"/>
              </w:rPr>
              <w:t>5（每周＜1次失控）</w:t>
            </w:r>
          </w:p>
        </w:tc>
        <w:tc>
          <w:tcPr>
            <w:tcW w:w="1953" w:type="dxa"/>
            <w:noWrap/>
            <w:vAlign w:val="center"/>
          </w:tcPr>
          <w:p>
            <w:pPr>
              <w:jc w:val="left"/>
              <w:rPr>
                <w:rFonts w:ascii="宋体" w:hAnsi="宋体" w:cs="宋体"/>
                <w:sz w:val="18"/>
                <w:szCs w:val="18"/>
              </w:rPr>
            </w:pPr>
            <w:r>
              <w:rPr>
                <w:rFonts w:hint="eastAsia" w:ascii="宋体" w:hAnsi="宋体" w:cs="宋体"/>
                <w:sz w:val="18"/>
                <w:szCs w:val="18"/>
              </w:rPr>
              <w:t>0（失控）</w:t>
            </w:r>
          </w:p>
        </w:tc>
        <w:tc>
          <w:tcPr>
            <w:tcW w:w="976" w:type="dxa"/>
            <w:noWrap/>
            <w:vAlign w:val="center"/>
          </w:tcPr>
          <w:p>
            <w:pPr>
              <w:jc w:val="left"/>
              <w:rPr>
                <w:rFonts w:ascii="宋体" w:hAnsi="宋体" w:cs="宋体"/>
                <w:sz w:val="18"/>
                <w:szCs w:val="18"/>
              </w:rPr>
            </w:pPr>
            <w:r>
              <w:rPr>
                <w:rFonts w:hint="eastAsia" w:ascii="宋体" w:hAnsi="宋体" w:cs="宋体"/>
                <w:sz w:val="18"/>
                <w:szCs w:val="18"/>
              </w:rPr>
              <w:t>0</w:t>
            </w:r>
          </w:p>
        </w:tc>
        <w:tc>
          <w:tcPr>
            <w:tcW w:w="977" w:type="dxa"/>
            <w:noWrap/>
            <w:vAlign w:val="center"/>
          </w:tcPr>
          <w:p>
            <w:pPr>
              <w:jc w:val="left"/>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2539" w:type="dxa"/>
            <w:noWrap/>
          </w:tcPr>
          <w:p>
            <w:pPr>
              <w:jc w:val="left"/>
              <w:rPr>
                <w:rFonts w:ascii="宋体" w:hAnsi="宋体" w:cs="宋体"/>
                <w:sz w:val="18"/>
                <w:szCs w:val="18"/>
              </w:rPr>
            </w:pPr>
            <w:r>
              <w:rPr>
                <w:rFonts w:hint="eastAsia" w:ascii="宋体" w:hAnsi="宋体" w:cs="宋体"/>
                <w:sz w:val="18"/>
                <w:szCs w:val="18"/>
              </w:rPr>
              <w:t>6、小便</w:t>
            </w:r>
          </w:p>
        </w:tc>
        <w:tc>
          <w:tcPr>
            <w:tcW w:w="977" w:type="dxa"/>
            <w:noWrap/>
            <w:vAlign w:val="center"/>
          </w:tcPr>
          <w:p>
            <w:pPr>
              <w:jc w:val="left"/>
              <w:rPr>
                <w:rFonts w:ascii="宋体" w:hAnsi="宋体" w:cs="宋体"/>
                <w:sz w:val="18"/>
                <w:szCs w:val="18"/>
              </w:rPr>
            </w:pPr>
            <w:r>
              <w:rPr>
                <w:rFonts w:hint="eastAsia" w:ascii="宋体" w:hAnsi="宋体" w:cs="宋体"/>
                <w:sz w:val="18"/>
                <w:szCs w:val="18"/>
              </w:rPr>
              <w:t>10</w:t>
            </w:r>
          </w:p>
        </w:tc>
        <w:tc>
          <w:tcPr>
            <w:tcW w:w="2148" w:type="dxa"/>
            <w:noWrap/>
            <w:vAlign w:val="center"/>
          </w:tcPr>
          <w:p>
            <w:pPr>
              <w:jc w:val="left"/>
              <w:rPr>
                <w:rFonts w:ascii="宋体" w:hAnsi="宋体" w:cs="宋体"/>
                <w:sz w:val="18"/>
                <w:szCs w:val="18"/>
              </w:rPr>
            </w:pPr>
            <w:r>
              <w:rPr>
                <w:rFonts w:hint="eastAsia" w:ascii="宋体" w:hAnsi="宋体" w:cs="宋体"/>
                <w:sz w:val="18"/>
                <w:szCs w:val="18"/>
              </w:rPr>
              <w:t>5（每24h＜1次失控）</w:t>
            </w:r>
          </w:p>
        </w:tc>
        <w:tc>
          <w:tcPr>
            <w:tcW w:w="1953" w:type="dxa"/>
            <w:noWrap/>
            <w:vAlign w:val="center"/>
          </w:tcPr>
          <w:p>
            <w:pPr>
              <w:jc w:val="left"/>
              <w:rPr>
                <w:rFonts w:ascii="宋体" w:hAnsi="宋体" w:cs="宋体"/>
                <w:sz w:val="18"/>
                <w:szCs w:val="18"/>
              </w:rPr>
            </w:pPr>
            <w:r>
              <w:rPr>
                <w:rFonts w:hint="eastAsia" w:ascii="宋体" w:hAnsi="宋体" w:cs="宋体"/>
                <w:sz w:val="18"/>
                <w:szCs w:val="18"/>
              </w:rPr>
              <w:t>0（失控）</w:t>
            </w:r>
          </w:p>
        </w:tc>
        <w:tc>
          <w:tcPr>
            <w:tcW w:w="976" w:type="dxa"/>
            <w:noWrap/>
            <w:vAlign w:val="center"/>
          </w:tcPr>
          <w:p>
            <w:pPr>
              <w:jc w:val="left"/>
              <w:rPr>
                <w:rFonts w:ascii="宋体" w:hAnsi="宋体" w:cs="宋体"/>
                <w:sz w:val="18"/>
                <w:szCs w:val="18"/>
              </w:rPr>
            </w:pPr>
            <w:r>
              <w:rPr>
                <w:rFonts w:hint="eastAsia" w:ascii="宋体" w:hAnsi="宋体" w:cs="宋体"/>
                <w:sz w:val="18"/>
                <w:szCs w:val="18"/>
              </w:rPr>
              <w:t>0</w:t>
            </w:r>
          </w:p>
        </w:tc>
        <w:tc>
          <w:tcPr>
            <w:tcW w:w="977" w:type="dxa"/>
            <w:noWrap/>
            <w:vAlign w:val="center"/>
          </w:tcPr>
          <w:p>
            <w:pPr>
              <w:jc w:val="left"/>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2539" w:type="dxa"/>
            <w:noWrap/>
          </w:tcPr>
          <w:p>
            <w:pPr>
              <w:jc w:val="left"/>
              <w:rPr>
                <w:rFonts w:ascii="宋体" w:hAnsi="宋体" w:cs="宋体"/>
                <w:sz w:val="18"/>
                <w:szCs w:val="18"/>
              </w:rPr>
            </w:pPr>
            <w:r>
              <w:rPr>
                <w:rFonts w:hint="eastAsia" w:ascii="宋体" w:hAnsi="宋体" w:cs="宋体"/>
                <w:sz w:val="18"/>
                <w:szCs w:val="18"/>
              </w:rPr>
              <w:t>7、用厕（擦净、整理衣裤、冲水）</w:t>
            </w:r>
          </w:p>
        </w:tc>
        <w:tc>
          <w:tcPr>
            <w:tcW w:w="977" w:type="dxa"/>
            <w:noWrap/>
            <w:vAlign w:val="center"/>
          </w:tcPr>
          <w:p>
            <w:pPr>
              <w:jc w:val="left"/>
              <w:rPr>
                <w:rFonts w:ascii="宋体" w:hAnsi="宋体" w:cs="宋体"/>
                <w:sz w:val="18"/>
                <w:szCs w:val="18"/>
              </w:rPr>
            </w:pPr>
            <w:r>
              <w:rPr>
                <w:rFonts w:hint="eastAsia" w:ascii="宋体" w:hAnsi="宋体" w:cs="宋体"/>
                <w:sz w:val="18"/>
                <w:szCs w:val="18"/>
              </w:rPr>
              <w:t>10</w:t>
            </w:r>
          </w:p>
        </w:tc>
        <w:tc>
          <w:tcPr>
            <w:tcW w:w="2148" w:type="dxa"/>
            <w:noWrap/>
            <w:vAlign w:val="center"/>
          </w:tcPr>
          <w:p>
            <w:pPr>
              <w:jc w:val="left"/>
              <w:rPr>
                <w:rFonts w:ascii="宋体" w:hAnsi="宋体" w:cs="宋体"/>
                <w:sz w:val="18"/>
                <w:szCs w:val="18"/>
              </w:rPr>
            </w:pPr>
            <w:r>
              <w:rPr>
                <w:rFonts w:hint="eastAsia" w:ascii="宋体" w:hAnsi="宋体" w:cs="宋体"/>
                <w:sz w:val="18"/>
                <w:szCs w:val="18"/>
              </w:rPr>
              <w:t>5</w:t>
            </w:r>
          </w:p>
        </w:tc>
        <w:tc>
          <w:tcPr>
            <w:tcW w:w="1953" w:type="dxa"/>
            <w:noWrap/>
            <w:vAlign w:val="center"/>
          </w:tcPr>
          <w:p>
            <w:pPr>
              <w:jc w:val="left"/>
              <w:rPr>
                <w:rFonts w:ascii="宋体" w:hAnsi="宋体" w:cs="宋体"/>
                <w:sz w:val="18"/>
                <w:szCs w:val="18"/>
              </w:rPr>
            </w:pPr>
            <w:r>
              <w:rPr>
                <w:rFonts w:hint="eastAsia" w:ascii="宋体" w:hAnsi="宋体" w:cs="宋体"/>
                <w:sz w:val="18"/>
                <w:szCs w:val="18"/>
              </w:rPr>
              <w:t>0</w:t>
            </w:r>
          </w:p>
        </w:tc>
        <w:tc>
          <w:tcPr>
            <w:tcW w:w="976" w:type="dxa"/>
            <w:noWrap/>
            <w:vAlign w:val="center"/>
          </w:tcPr>
          <w:p>
            <w:pPr>
              <w:jc w:val="left"/>
              <w:rPr>
                <w:rFonts w:ascii="宋体" w:hAnsi="宋体" w:cs="宋体"/>
                <w:sz w:val="18"/>
                <w:szCs w:val="18"/>
              </w:rPr>
            </w:pPr>
            <w:r>
              <w:rPr>
                <w:rFonts w:hint="eastAsia" w:ascii="宋体" w:hAnsi="宋体" w:cs="宋体"/>
                <w:sz w:val="18"/>
                <w:szCs w:val="18"/>
              </w:rPr>
              <w:t>0</w:t>
            </w:r>
          </w:p>
        </w:tc>
        <w:tc>
          <w:tcPr>
            <w:tcW w:w="977" w:type="dxa"/>
            <w:noWrap/>
            <w:vAlign w:val="center"/>
          </w:tcPr>
          <w:p>
            <w:pPr>
              <w:jc w:val="left"/>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2539" w:type="dxa"/>
            <w:noWrap/>
          </w:tcPr>
          <w:p>
            <w:pPr>
              <w:jc w:val="left"/>
              <w:rPr>
                <w:rFonts w:ascii="宋体" w:hAnsi="宋体" w:cs="宋体"/>
                <w:sz w:val="18"/>
                <w:szCs w:val="18"/>
              </w:rPr>
            </w:pPr>
            <w:r>
              <w:rPr>
                <w:rFonts w:hint="eastAsia" w:ascii="宋体" w:hAnsi="宋体" w:cs="宋体"/>
                <w:sz w:val="18"/>
                <w:szCs w:val="18"/>
              </w:rPr>
              <w:t>8、床椅转移</w:t>
            </w:r>
          </w:p>
        </w:tc>
        <w:tc>
          <w:tcPr>
            <w:tcW w:w="977" w:type="dxa"/>
            <w:noWrap/>
            <w:vAlign w:val="center"/>
          </w:tcPr>
          <w:p>
            <w:pPr>
              <w:jc w:val="left"/>
              <w:rPr>
                <w:rFonts w:ascii="宋体" w:hAnsi="宋体" w:cs="宋体"/>
                <w:sz w:val="18"/>
                <w:szCs w:val="18"/>
              </w:rPr>
            </w:pPr>
            <w:r>
              <w:rPr>
                <w:rFonts w:hint="eastAsia" w:ascii="宋体" w:hAnsi="宋体" w:cs="宋体"/>
                <w:sz w:val="18"/>
                <w:szCs w:val="18"/>
              </w:rPr>
              <w:t>15</w:t>
            </w:r>
          </w:p>
        </w:tc>
        <w:tc>
          <w:tcPr>
            <w:tcW w:w="2148" w:type="dxa"/>
            <w:noWrap/>
            <w:vAlign w:val="center"/>
          </w:tcPr>
          <w:p>
            <w:pPr>
              <w:jc w:val="left"/>
              <w:rPr>
                <w:rFonts w:ascii="宋体" w:hAnsi="宋体" w:cs="宋体"/>
                <w:sz w:val="18"/>
                <w:szCs w:val="18"/>
              </w:rPr>
            </w:pPr>
            <w:r>
              <w:rPr>
                <w:rFonts w:hint="eastAsia" w:ascii="宋体" w:hAnsi="宋体" w:cs="宋体"/>
                <w:sz w:val="18"/>
                <w:szCs w:val="18"/>
              </w:rPr>
              <w:t>10</w:t>
            </w:r>
          </w:p>
        </w:tc>
        <w:tc>
          <w:tcPr>
            <w:tcW w:w="1953" w:type="dxa"/>
            <w:noWrap/>
            <w:vAlign w:val="center"/>
          </w:tcPr>
          <w:p>
            <w:pPr>
              <w:jc w:val="left"/>
              <w:rPr>
                <w:rFonts w:ascii="宋体" w:hAnsi="宋体" w:cs="宋体"/>
                <w:sz w:val="18"/>
                <w:szCs w:val="18"/>
              </w:rPr>
            </w:pPr>
            <w:r>
              <w:rPr>
                <w:rFonts w:hint="eastAsia" w:ascii="宋体" w:hAnsi="宋体" w:cs="宋体"/>
                <w:sz w:val="18"/>
                <w:szCs w:val="18"/>
              </w:rPr>
              <w:t>5</w:t>
            </w:r>
          </w:p>
        </w:tc>
        <w:tc>
          <w:tcPr>
            <w:tcW w:w="976" w:type="dxa"/>
            <w:noWrap/>
            <w:vAlign w:val="center"/>
          </w:tcPr>
          <w:p>
            <w:pPr>
              <w:jc w:val="left"/>
              <w:rPr>
                <w:rFonts w:ascii="宋体" w:hAnsi="宋体" w:cs="宋体"/>
                <w:sz w:val="18"/>
                <w:szCs w:val="18"/>
              </w:rPr>
            </w:pPr>
            <w:r>
              <w:rPr>
                <w:rFonts w:hint="eastAsia" w:ascii="宋体" w:hAnsi="宋体" w:cs="宋体"/>
                <w:sz w:val="18"/>
                <w:szCs w:val="18"/>
              </w:rPr>
              <w:t>0</w:t>
            </w:r>
          </w:p>
        </w:tc>
        <w:tc>
          <w:tcPr>
            <w:tcW w:w="977" w:type="dxa"/>
            <w:noWrap/>
            <w:vAlign w:val="center"/>
          </w:tcPr>
          <w:p>
            <w:pPr>
              <w:jc w:val="left"/>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2539" w:type="dxa"/>
            <w:noWrap/>
          </w:tcPr>
          <w:p>
            <w:pPr>
              <w:jc w:val="left"/>
              <w:rPr>
                <w:rFonts w:ascii="宋体" w:hAnsi="宋体" w:cs="宋体"/>
                <w:sz w:val="18"/>
                <w:szCs w:val="18"/>
              </w:rPr>
            </w:pPr>
            <w:r>
              <w:rPr>
                <w:rFonts w:hint="eastAsia" w:ascii="宋体" w:hAnsi="宋体" w:cs="宋体"/>
                <w:sz w:val="18"/>
                <w:szCs w:val="18"/>
              </w:rPr>
              <w:t>9、平地走45米</w:t>
            </w:r>
          </w:p>
        </w:tc>
        <w:tc>
          <w:tcPr>
            <w:tcW w:w="977" w:type="dxa"/>
            <w:noWrap/>
            <w:vAlign w:val="center"/>
          </w:tcPr>
          <w:p>
            <w:pPr>
              <w:jc w:val="left"/>
              <w:rPr>
                <w:rFonts w:ascii="宋体" w:hAnsi="宋体" w:cs="宋体"/>
                <w:sz w:val="18"/>
                <w:szCs w:val="18"/>
              </w:rPr>
            </w:pPr>
            <w:r>
              <w:rPr>
                <w:rFonts w:hint="eastAsia" w:ascii="宋体" w:hAnsi="宋体" w:cs="宋体"/>
                <w:sz w:val="18"/>
                <w:szCs w:val="18"/>
              </w:rPr>
              <w:t>15</w:t>
            </w:r>
          </w:p>
        </w:tc>
        <w:tc>
          <w:tcPr>
            <w:tcW w:w="2148" w:type="dxa"/>
            <w:noWrap/>
            <w:vAlign w:val="center"/>
          </w:tcPr>
          <w:p>
            <w:pPr>
              <w:jc w:val="left"/>
              <w:rPr>
                <w:rFonts w:ascii="宋体" w:hAnsi="宋体" w:cs="宋体"/>
                <w:sz w:val="18"/>
                <w:szCs w:val="18"/>
              </w:rPr>
            </w:pPr>
            <w:r>
              <w:rPr>
                <w:rFonts w:hint="eastAsia" w:ascii="宋体" w:hAnsi="宋体" w:cs="宋体"/>
                <w:sz w:val="18"/>
                <w:szCs w:val="18"/>
              </w:rPr>
              <w:t>10</w:t>
            </w:r>
          </w:p>
        </w:tc>
        <w:tc>
          <w:tcPr>
            <w:tcW w:w="1953" w:type="dxa"/>
            <w:noWrap/>
            <w:vAlign w:val="center"/>
          </w:tcPr>
          <w:p>
            <w:pPr>
              <w:jc w:val="left"/>
              <w:rPr>
                <w:rFonts w:ascii="宋体" w:hAnsi="宋体" w:cs="宋体"/>
                <w:sz w:val="18"/>
                <w:szCs w:val="18"/>
              </w:rPr>
            </w:pPr>
            <w:r>
              <w:rPr>
                <w:rFonts w:hint="eastAsia" w:ascii="宋体" w:hAnsi="宋体" w:cs="宋体"/>
                <w:sz w:val="18"/>
                <w:szCs w:val="18"/>
              </w:rPr>
              <w:t>5</w:t>
            </w:r>
          </w:p>
        </w:tc>
        <w:tc>
          <w:tcPr>
            <w:tcW w:w="976" w:type="dxa"/>
            <w:noWrap/>
            <w:vAlign w:val="center"/>
          </w:tcPr>
          <w:p>
            <w:pPr>
              <w:jc w:val="left"/>
              <w:rPr>
                <w:rFonts w:ascii="宋体" w:hAnsi="宋体" w:cs="宋体"/>
                <w:sz w:val="18"/>
                <w:szCs w:val="18"/>
              </w:rPr>
            </w:pPr>
            <w:r>
              <w:rPr>
                <w:rFonts w:hint="eastAsia" w:ascii="宋体" w:hAnsi="宋体" w:cs="宋体"/>
                <w:sz w:val="18"/>
                <w:szCs w:val="18"/>
              </w:rPr>
              <w:t>0</w:t>
            </w:r>
          </w:p>
        </w:tc>
        <w:tc>
          <w:tcPr>
            <w:tcW w:w="977" w:type="dxa"/>
            <w:noWrap/>
            <w:vAlign w:val="center"/>
          </w:tcPr>
          <w:p>
            <w:pPr>
              <w:jc w:val="left"/>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2539" w:type="dxa"/>
            <w:noWrap/>
          </w:tcPr>
          <w:p>
            <w:pPr>
              <w:jc w:val="left"/>
              <w:rPr>
                <w:rFonts w:ascii="宋体" w:hAnsi="宋体" w:cs="宋体"/>
                <w:sz w:val="18"/>
                <w:szCs w:val="18"/>
              </w:rPr>
            </w:pPr>
            <w:r>
              <w:rPr>
                <w:rFonts w:hint="eastAsia" w:ascii="宋体" w:hAnsi="宋体" w:cs="宋体"/>
                <w:sz w:val="18"/>
                <w:szCs w:val="18"/>
              </w:rPr>
              <w:t>10、上下楼梯</w:t>
            </w:r>
          </w:p>
        </w:tc>
        <w:tc>
          <w:tcPr>
            <w:tcW w:w="977" w:type="dxa"/>
            <w:noWrap/>
            <w:vAlign w:val="center"/>
          </w:tcPr>
          <w:p>
            <w:pPr>
              <w:jc w:val="left"/>
              <w:rPr>
                <w:rFonts w:ascii="宋体" w:hAnsi="宋体" w:cs="宋体"/>
                <w:sz w:val="18"/>
                <w:szCs w:val="18"/>
              </w:rPr>
            </w:pPr>
            <w:r>
              <w:rPr>
                <w:rFonts w:hint="eastAsia" w:ascii="宋体" w:hAnsi="宋体" w:cs="宋体"/>
                <w:sz w:val="18"/>
                <w:szCs w:val="18"/>
              </w:rPr>
              <w:t>10</w:t>
            </w:r>
          </w:p>
        </w:tc>
        <w:tc>
          <w:tcPr>
            <w:tcW w:w="2148" w:type="dxa"/>
            <w:noWrap/>
            <w:vAlign w:val="center"/>
          </w:tcPr>
          <w:p>
            <w:pPr>
              <w:jc w:val="left"/>
              <w:rPr>
                <w:rFonts w:ascii="宋体" w:hAnsi="宋体" w:cs="宋体"/>
                <w:sz w:val="18"/>
                <w:szCs w:val="18"/>
              </w:rPr>
            </w:pPr>
            <w:r>
              <w:rPr>
                <w:rFonts w:hint="eastAsia" w:ascii="宋体" w:hAnsi="宋体" w:cs="宋体"/>
                <w:sz w:val="18"/>
                <w:szCs w:val="18"/>
              </w:rPr>
              <w:t>5</w:t>
            </w:r>
          </w:p>
        </w:tc>
        <w:tc>
          <w:tcPr>
            <w:tcW w:w="1953" w:type="dxa"/>
            <w:noWrap/>
            <w:vAlign w:val="center"/>
          </w:tcPr>
          <w:p>
            <w:pPr>
              <w:jc w:val="left"/>
              <w:rPr>
                <w:rFonts w:ascii="宋体" w:hAnsi="宋体" w:cs="宋体"/>
                <w:sz w:val="18"/>
                <w:szCs w:val="18"/>
              </w:rPr>
            </w:pPr>
            <w:r>
              <w:rPr>
                <w:rFonts w:hint="eastAsia" w:ascii="宋体" w:hAnsi="宋体" w:cs="宋体"/>
                <w:sz w:val="18"/>
                <w:szCs w:val="18"/>
              </w:rPr>
              <w:t>0</w:t>
            </w:r>
          </w:p>
        </w:tc>
        <w:tc>
          <w:tcPr>
            <w:tcW w:w="976" w:type="dxa"/>
            <w:noWrap/>
            <w:vAlign w:val="center"/>
          </w:tcPr>
          <w:p>
            <w:pPr>
              <w:jc w:val="left"/>
              <w:rPr>
                <w:rFonts w:ascii="宋体" w:hAnsi="宋体" w:cs="宋体"/>
                <w:sz w:val="18"/>
                <w:szCs w:val="18"/>
              </w:rPr>
            </w:pPr>
            <w:r>
              <w:rPr>
                <w:rFonts w:hint="eastAsia" w:ascii="宋体" w:hAnsi="宋体" w:cs="宋体"/>
                <w:sz w:val="18"/>
                <w:szCs w:val="18"/>
              </w:rPr>
              <w:t>0</w:t>
            </w:r>
          </w:p>
        </w:tc>
        <w:tc>
          <w:tcPr>
            <w:tcW w:w="977" w:type="dxa"/>
            <w:noWrap/>
            <w:vAlign w:val="center"/>
          </w:tcPr>
          <w:p>
            <w:pPr>
              <w:jc w:val="left"/>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593" w:type="dxa"/>
            <w:gridSpan w:val="5"/>
            <w:noWrap/>
            <w:vAlign w:val="center"/>
          </w:tcPr>
          <w:p>
            <w:pPr>
              <w:jc w:val="left"/>
              <w:rPr>
                <w:rFonts w:ascii="宋体" w:hAnsi="宋体" w:cs="宋体"/>
                <w:sz w:val="18"/>
                <w:szCs w:val="18"/>
              </w:rPr>
            </w:pPr>
            <w:r>
              <w:rPr>
                <w:rFonts w:hint="eastAsia" w:ascii="宋体" w:hAnsi="宋体" w:cs="宋体"/>
                <w:sz w:val="18"/>
                <w:szCs w:val="18"/>
              </w:rPr>
              <w:t>总分</w:t>
            </w:r>
          </w:p>
        </w:tc>
        <w:tc>
          <w:tcPr>
            <w:tcW w:w="977" w:type="dxa"/>
            <w:noWrap/>
            <w:vAlign w:val="center"/>
          </w:tcPr>
          <w:p>
            <w:pPr>
              <w:jc w:val="left"/>
              <w:rPr>
                <w:rFonts w:ascii="宋体" w:hAnsi="宋体" w:cs="宋体"/>
                <w:sz w:val="18"/>
                <w:szCs w:val="18"/>
              </w:rPr>
            </w:pPr>
          </w:p>
        </w:tc>
      </w:tr>
    </w:tbl>
    <w:p>
      <w:pPr>
        <w:jc w:val="left"/>
        <w:rPr>
          <w:rFonts w:ascii="宋体" w:hAnsi="宋体" w:cs="宋体"/>
          <w:sz w:val="18"/>
          <w:szCs w:val="18"/>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2"/>
        <w:gridCol w:w="2070"/>
        <w:gridCol w:w="1993"/>
        <w:gridCol w:w="1841"/>
        <w:gridCol w:w="1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672" w:type="dxa"/>
            <w:vMerge w:val="restart"/>
            <w:noWrap/>
            <w:vAlign w:val="center"/>
          </w:tcPr>
          <w:p>
            <w:pPr>
              <w:jc w:val="left"/>
              <w:rPr>
                <w:rFonts w:ascii="宋体" w:hAnsi="宋体" w:cs="宋体"/>
                <w:sz w:val="18"/>
                <w:szCs w:val="18"/>
              </w:rPr>
            </w:pPr>
            <w:r>
              <w:rPr>
                <w:rFonts w:hint="eastAsia" w:ascii="宋体" w:hAnsi="宋体" w:cs="宋体"/>
                <w:sz w:val="18"/>
                <w:szCs w:val="18"/>
              </w:rPr>
              <w:t>评定标准</w:t>
            </w:r>
          </w:p>
        </w:tc>
        <w:tc>
          <w:tcPr>
            <w:tcW w:w="2070" w:type="dxa"/>
            <w:noWrap/>
            <w:vAlign w:val="center"/>
          </w:tcPr>
          <w:p>
            <w:pPr>
              <w:jc w:val="left"/>
              <w:rPr>
                <w:rFonts w:ascii="宋体" w:hAnsi="宋体" w:cs="宋体"/>
                <w:sz w:val="18"/>
                <w:szCs w:val="18"/>
              </w:rPr>
            </w:pPr>
            <w:r>
              <w:rPr>
                <w:rFonts w:hint="eastAsia" w:ascii="宋体" w:hAnsi="宋体" w:cs="宋体"/>
                <w:sz w:val="18"/>
                <w:szCs w:val="18"/>
              </w:rPr>
              <w:t>生活基本可以自理</w:t>
            </w:r>
          </w:p>
        </w:tc>
        <w:tc>
          <w:tcPr>
            <w:tcW w:w="1993" w:type="dxa"/>
            <w:noWrap/>
            <w:vAlign w:val="center"/>
          </w:tcPr>
          <w:p>
            <w:pPr>
              <w:jc w:val="left"/>
              <w:rPr>
                <w:rFonts w:ascii="宋体" w:hAnsi="宋体" w:cs="宋体"/>
                <w:sz w:val="18"/>
                <w:szCs w:val="18"/>
              </w:rPr>
            </w:pPr>
            <w:r>
              <w:rPr>
                <w:rFonts w:hint="eastAsia" w:ascii="宋体" w:hAnsi="宋体" w:cs="宋体"/>
                <w:sz w:val="18"/>
                <w:szCs w:val="18"/>
              </w:rPr>
              <w:t>生活需要帮助</w:t>
            </w:r>
          </w:p>
        </w:tc>
        <w:tc>
          <w:tcPr>
            <w:tcW w:w="1841" w:type="dxa"/>
            <w:noWrap/>
            <w:vAlign w:val="center"/>
          </w:tcPr>
          <w:p>
            <w:pPr>
              <w:jc w:val="left"/>
              <w:rPr>
                <w:rFonts w:ascii="宋体" w:hAnsi="宋体" w:cs="宋体"/>
                <w:sz w:val="18"/>
                <w:szCs w:val="18"/>
              </w:rPr>
            </w:pPr>
            <w:r>
              <w:rPr>
                <w:rFonts w:hint="eastAsia" w:ascii="宋体" w:hAnsi="宋体" w:cs="宋体"/>
                <w:sz w:val="18"/>
                <w:szCs w:val="18"/>
              </w:rPr>
              <w:t>生活需要很大帮助</w:t>
            </w:r>
          </w:p>
        </w:tc>
        <w:tc>
          <w:tcPr>
            <w:tcW w:w="1994" w:type="dxa"/>
            <w:noWrap/>
            <w:vAlign w:val="center"/>
          </w:tcPr>
          <w:p>
            <w:pPr>
              <w:jc w:val="left"/>
              <w:rPr>
                <w:rFonts w:ascii="宋体" w:hAnsi="宋体" w:cs="宋体"/>
                <w:sz w:val="18"/>
                <w:szCs w:val="18"/>
              </w:rPr>
            </w:pPr>
            <w:r>
              <w:rPr>
                <w:rFonts w:hint="eastAsia" w:ascii="宋体" w:hAnsi="宋体" w:cs="宋体"/>
                <w:sz w:val="18"/>
                <w:szCs w:val="18"/>
              </w:rPr>
              <w:t>生活完全需要帮助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672" w:type="dxa"/>
            <w:vMerge w:val="continue"/>
            <w:noWrap/>
            <w:vAlign w:val="center"/>
          </w:tcPr>
          <w:p>
            <w:pPr>
              <w:jc w:val="left"/>
              <w:rPr>
                <w:rFonts w:ascii="宋体" w:hAnsi="宋体" w:cs="宋体"/>
                <w:sz w:val="18"/>
                <w:szCs w:val="18"/>
              </w:rPr>
            </w:pPr>
          </w:p>
        </w:tc>
        <w:tc>
          <w:tcPr>
            <w:tcW w:w="2070" w:type="dxa"/>
            <w:noWrap/>
            <w:vAlign w:val="center"/>
          </w:tcPr>
          <w:p>
            <w:pPr>
              <w:jc w:val="left"/>
              <w:rPr>
                <w:rFonts w:ascii="宋体" w:hAnsi="宋体" w:cs="宋体"/>
                <w:sz w:val="18"/>
                <w:szCs w:val="18"/>
              </w:rPr>
            </w:pPr>
            <w:r>
              <w:rPr>
                <w:rFonts w:hint="eastAsia" w:ascii="宋体" w:hAnsi="宋体" w:cs="宋体"/>
                <w:sz w:val="18"/>
                <w:szCs w:val="18"/>
              </w:rPr>
              <w:t>60分以上</w:t>
            </w:r>
          </w:p>
        </w:tc>
        <w:tc>
          <w:tcPr>
            <w:tcW w:w="1993" w:type="dxa"/>
            <w:noWrap/>
            <w:vAlign w:val="center"/>
          </w:tcPr>
          <w:p>
            <w:pPr>
              <w:jc w:val="left"/>
              <w:rPr>
                <w:rFonts w:ascii="宋体" w:hAnsi="宋体" w:cs="宋体"/>
                <w:sz w:val="18"/>
                <w:szCs w:val="18"/>
              </w:rPr>
            </w:pPr>
            <w:r>
              <w:rPr>
                <w:rFonts w:hint="eastAsia" w:ascii="宋体" w:hAnsi="宋体" w:cs="宋体"/>
                <w:sz w:val="18"/>
                <w:szCs w:val="18"/>
              </w:rPr>
              <w:t>60-41分</w:t>
            </w:r>
          </w:p>
        </w:tc>
        <w:tc>
          <w:tcPr>
            <w:tcW w:w="1841" w:type="dxa"/>
            <w:noWrap/>
            <w:vAlign w:val="center"/>
          </w:tcPr>
          <w:p>
            <w:pPr>
              <w:jc w:val="left"/>
              <w:rPr>
                <w:rFonts w:ascii="宋体" w:hAnsi="宋体" w:cs="宋体"/>
                <w:sz w:val="18"/>
                <w:szCs w:val="18"/>
              </w:rPr>
            </w:pPr>
            <w:r>
              <w:rPr>
                <w:rFonts w:hint="eastAsia" w:ascii="宋体" w:hAnsi="宋体" w:cs="宋体"/>
                <w:sz w:val="18"/>
                <w:szCs w:val="18"/>
              </w:rPr>
              <w:t>40-21分</w:t>
            </w:r>
          </w:p>
        </w:tc>
        <w:tc>
          <w:tcPr>
            <w:tcW w:w="1994" w:type="dxa"/>
            <w:noWrap/>
            <w:vAlign w:val="center"/>
          </w:tcPr>
          <w:p>
            <w:pPr>
              <w:jc w:val="left"/>
              <w:rPr>
                <w:rFonts w:ascii="宋体" w:hAnsi="宋体" w:cs="宋体"/>
                <w:sz w:val="18"/>
                <w:szCs w:val="18"/>
              </w:rPr>
            </w:pPr>
            <w:r>
              <w:rPr>
                <w:rFonts w:hint="eastAsia" w:ascii="宋体" w:hAnsi="宋体" w:cs="宋体"/>
                <w:sz w:val="18"/>
                <w:szCs w:val="18"/>
              </w:rPr>
              <w:t>20分以下</w:t>
            </w:r>
          </w:p>
        </w:tc>
      </w:tr>
    </w:tbl>
    <w:p>
      <w:pPr>
        <w:spacing w:line="360" w:lineRule="auto"/>
        <w:jc w:val="left"/>
        <w:rPr>
          <w:rFonts w:ascii="宋体" w:hAnsi="宋体"/>
          <w:szCs w:val="21"/>
        </w:rPr>
      </w:pPr>
      <w:r>
        <w:rPr>
          <w:rFonts w:hint="eastAsia" w:ascii="宋体" w:hAnsi="宋体" w:cs="宋体"/>
          <w:sz w:val="18"/>
          <w:szCs w:val="18"/>
        </w:rPr>
        <w:t>填表说明：该表为学员申请区康园中心服务时候进行初步评估使用，并作为是否招收该学员的其中一项参考依据。分数低于40分的将不接收。</w:t>
      </w:r>
    </w:p>
    <w:p>
      <w:pPr>
        <w:ind w:firstLine="415" w:firstLineChars="150"/>
        <w:rPr>
          <w:rFonts w:ascii="仿宋" w:hAnsi="仿宋" w:eastAsia="仿宋"/>
          <w:w w:val="99"/>
          <w:sz w:val="28"/>
          <w:szCs w:val="28"/>
        </w:rPr>
        <w:sectPr>
          <w:pgSz w:w="11906" w:h="16838"/>
          <w:pgMar w:top="2098" w:right="1474" w:bottom="1985" w:left="1588" w:header="851" w:footer="992" w:gutter="0"/>
          <w:pgNumType w:fmt="numberInDash"/>
          <w:cols w:space="720" w:num="1"/>
          <w:docGrid w:type="lines" w:linePitch="312" w:charSpace="0"/>
        </w:sectPr>
      </w:pPr>
    </w:p>
    <w:tbl>
      <w:tblPr>
        <w:tblStyle w:val="9"/>
        <w:tblW w:w="16461" w:type="dxa"/>
        <w:tblInd w:w="-72" w:type="dxa"/>
        <w:tblLayout w:type="autofit"/>
        <w:tblCellMar>
          <w:top w:w="0" w:type="dxa"/>
          <w:left w:w="108" w:type="dxa"/>
          <w:bottom w:w="0" w:type="dxa"/>
          <w:right w:w="108" w:type="dxa"/>
        </w:tblCellMar>
      </w:tblPr>
      <w:tblGrid>
        <w:gridCol w:w="1348"/>
        <w:gridCol w:w="1392"/>
        <w:gridCol w:w="496"/>
        <w:gridCol w:w="824"/>
        <w:gridCol w:w="1620"/>
        <w:gridCol w:w="1260"/>
        <w:gridCol w:w="496"/>
        <w:gridCol w:w="2624"/>
        <w:gridCol w:w="720"/>
        <w:gridCol w:w="1260"/>
        <w:gridCol w:w="1440"/>
        <w:gridCol w:w="720"/>
        <w:gridCol w:w="1620"/>
        <w:gridCol w:w="641"/>
      </w:tblGrid>
      <w:tr>
        <w:tblPrEx>
          <w:tblCellMar>
            <w:top w:w="0" w:type="dxa"/>
            <w:left w:w="108" w:type="dxa"/>
            <w:bottom w:w="0" w:type="dxa"/>
            <w:right w:w="108" w:type="dxa"/>
          </w:tblCellMar>
        </w:tblPrEx>
        <w:trPr>
          <w:trHeight w:val="405" w:hRule="atLeast"/>
        </w:trPr>
        <w:tc>
          <w:tcPr>
            <w:tcW w:w="16461" w:type="dxa"/>
            <w:gridSpan w:val="14"/>
            <w:tcBorders>
              <w:top w:val="nil"/>
              <w:left w:val="nil"/>
              <w:bottom w:val="nil"/>
              <w:right w:val="nil"/>
            </w:tcBorders>
            <w:noWrap/>
            <w:vAlign w:val="center"/>
          </w:tcPr>
          <w:p>
            <w:pPr>
              <w:widowControl/>
              <w:jc w:val="left"/>
              <w:rPr>
                <w:rFonts w:ascii="仿宋" w:hAnsi="仿宋" w:eastAsia="仿宋" w:cs="宋体"/>
                <w:kern w:val="0"/>
                <w:sz w:val="28"/>
                <w:szCs w:val="28"/>
              </w:rPr>
            </w:pPr>
            <w:r>
              <w:rPr>
                <w:rFonts w:hint="eastAsia" w:ascii="仿宋" w:hAnsi="仿宋" w:eastAsia="仿宋" w:cs="宋体"/>
                <w:kern w:val="0"/>
                <w:sz w:val="28"/>
                <w:szCs w:val="28"/>
              </w:rPr>
              <w:t>附件3</w:t>
            </w:r>
          </w:p>
        </w:tc>
      </w:tr>
      <w:tr>
        <w:tblPrEx>
          <w:tblCellMar>
            <w:top w:w="0" w:type="dxa"/>
            <w:left w:w="108" w:type="dxa"/>
            <w:bottom w:w="0" w:type="dxa"/>
            <w:right w:w="108" w:type="dxa"/>
          </w:tblCellMar>
        </w:tblPrEx>
        <w:trPr>
          <w:trHeight w:val="870" w:hRule="atLeast"/>
        </w:trPr>
        <w:tc>
          <w:tcPr>
            <w:tcW w:w="16461" w:type="dxa"/>
            <w:gridSpan w:val="14"/>
            <w:tcBorders>
              <w:top w:val="nil"/>
              <w:left w:val="nil"/>
              <w:bottom w:val="nil"/>
              <w:right w:val="nil"/>
            </w:tcBorders>
            <w:noWrap/>
            <w:vAlign w:val="center"/>
          </w:tcPr>
          <w:p>
            <w:pPr>
              <w:widowControl/>
              <w:jc w:val="center"/>
              <w:rPr>
                <w:rFonts w:ascii="仿宋" w:hAnsi="仿宋" w:eastAsia="仿宋" w:cs="宋体"/>
                <w:b/>
                <w:bCs/>
                <w:kern w:val="0"/>
                <w:sz w:val="28"/>
                <w:szCs w:val="28"/>
              </w:rPr>
            </w:pPr>
            <w:r>
              <w:rPr>
                <w:rFonts w:hint="eastAsia" w:ascii="仿宋" w:hAnsi="仿宋" w:eastAsia="仿宋" w:cs="宋体"/>
                <w:b/>
                <w:bCs/>
                <w:kern w:val="0"/>
                <w:sz w:val="28"/>
                <w:szCs w:val="28"/>
              </w:rPr>
              <w:t>广州市康园学员花名册</w:t>
            </w:r>
          </w:p>
        </w:tc>
      </w:tr>
      <w:tr>
        <w:tblPrEx>
          <w:tblCellMar>
            <w:top w:w="0" w:type="dxa"/>
            <w:left w:w="108" w:type="dxa"/>
            <w:bottom w:w="0" w:type="dxa"/>
            <w:right w:w="108" w:type="dxa"/>
          </w:tblCellMar>
        </w:tblPrEx>
        <w:trPr>
          <w:trHeight w:val="1237" w:hRule="atLeast"/>
        </w:trPr>
        <w:tc>
          <w:tcPr>
            <w:tcW w:w="16461" w:type="dxa"/>
            <w:gridSpan w:val="14"/>
            <w:tcBorders>
              <w:top w:val="nil"/>
              <w:left w:val="nil"/>
              <w:bottom w:val="nil"/>
              <w:right w:val="nil"/>
            </w:tcBorders>
            <w:noWrap/>
            <w:vAlign w:val="center"/>
          </w:tcPr>
          <w:p>
            <w:pPr>
              <w:widowControl/>
              <w:jc w:val="left"/>
              <w:rPr>
                <w:rFonts w:ascii="仿宋" w:hAnsi="仿宋" w:eastAsia="仿宋" w:cs="宋体"/>
                <w:kern w:val="0"/>
                <w:sz w:val="28"/>
                <w:szCs w:val="28"/>
              </w:rPr>
            </w:pPr>
            <w:r>
              <w:rPr>
                <w:rFonts w:hint="eastAsia" w:ascii="仿宋" w:hAnsi="仿宋" w:eastAsia="仿宋" w:cs="宋体"/>
                <w:kern w:val="0"/>
                <w:sz w:val="28"/>
                <w:szCs w:val="28"/>
              </w:rPr>
              <w:t xml:space="preserve">                    区          街（镇）工疗站                                                                             年度</w:t>
            </w:r>
          </w:p>
        </w:tc>
      </w:tr>
      <w:tr>
        <w:tblPrEx>
          <w:tblCellMar>
            <w:top w:w="0" w:type="dxa"/>
            <w:left w:w="108" w:type="dxa"/>
            <w:bottom w:w="0" w:type="dxa"/>
            <w:right w:w="108" w:type="dxa"/>
          </w:tblCellMar>
        </w:tblPrEx>
        <w:trPr>
          <w:gridAfter w:val="1"/>
          <w:wAfter w:w="641" w:type="dxa"/>
          <w:trHeight w:val="1227" w:hRule="exact"/>
        </w:trPr>
        <w:tc>
          <w:tcPr>
            <w:tcW w:w="134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学员编号</w:t>
            </w:r>
          </w:p>
        </w:tc>
        <w:tc>
          <w:tcPr>
            <w:tcW w:w="1392"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姓名</w:t>
            </w:r>
          </w:p>
        </w:tc>
        <w:tc>
          <w:tcPr>
            <w:tcW w:w="496"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性别别</w:t>
            </w:r>
          </w:p>
        </w:tc>
        <w:tc>
          <w:tcPr>
            <w:tcW w:w="824"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出生日期</w:t>
            </w:r>
          </w:p>
        </w:tc>
        <w:tc>
          <w:tcPr>
            <w:tcW w:w="1620"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残疾人证号</w:t>
            </w:r>
          </w:p>
        </w:tc>
        <w:tc>
          <w:tcPr>
            <w:tcW w:w="1260"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残疾类别</w:t>
            </w:r>
          </w:p>
        </w:tc>
        <w:tc>
          <w:tcPr>
            <w:tcW w:w="496"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等级</w:t>
            </w:r>
          </w:p>
        </w:tc>
        <w:tc>
          <w:tcPr>
            <w:tcW w:w="2624"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家庭地址</w:t>
            </w:r>
          </w:p>
        </w:tc>
        <w:tc>
          <w:tcPr>
            <w:tcW w:w="720"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所属社区</w:t>
            </w:r>
          </w:p>
        </w:tc>
        <w:tc>
          <w:tcPr>
            <w:tcW w:w="1260"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监护人</w:t>
            </w:r>
          </w:p>
        </w:tc>
        <w:tc>
          <w:tcPr>
            <w:tcW w:w="1440"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联系电话</w:t>
            </w:r>
          </w:p>
        </w:tc>
        <w:tc>
          <w:tcPr>
            <w:tcW w:w="720"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入站日期</w:t>
            </w:r>
          </w:p>
        </w:tc>
        <w:tc>
          <w:tcPr>
            <w:tcW w:w="1620"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家庭经济状况</w:t>
            </w:r>
          </w:p>
        </w:tc>
      </w:tr>
      <w:tr>
        <w:tblPrEx>
          <w:tblCellMar>
            <w:top w:w="0" w:type="dxa"/>
            <w:left w:w="108" w:type="dxa"/>
            <w:bottom w:w="0" w:type="dxa"/>
            <w:right w:w="108" w:type="dxa"/>
          </w:tblCellMar>
        </w:tblPrEx>
        <w:trPr>
          <w:gridAfter w:val="1"/>
          <w:wAfter w:w="641" w:type="dxa"/>
          <w:trHeight w:val="425" w:hRule="exact"/>
        </w:trPr>
        <w:tc>
          <w:tcPr>
            <w:tcW w:w="1348"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ascii="仿宋" w:hAnsi="仿宋" w:eastAsia="仿宋" w:cs="宋体"/>
                <w:kern w:val="0"/>
                <w:sz w:val="28"/>
                <w:szCs w:val="28"/>
              </w:rPr>
              <w:t>1</w:t>
            </w:r>
          </w:p>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392"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496"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82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6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26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496"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262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7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26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44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7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6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r>
      <w:tr>
        <w:tblPrEx>
          <w:tblCellMar>
            <w:top w:w="0" w:type="dxa"/>
            <w:left w:w="108" w:type="dxa"/>
            <w:bottom w:w="0" w:type="dxa"/>
            <w:right w:w="108" w:type="dxa"/>
          </w:tblCellMar>
        </w:tblPrEx>
        <w:trPr>
          <w:gridAfter w:val="1"/>
          <w:wAfter w:w="641" w:type="dxa"/>
          <w:trHeight w:val="425" w:hRule="exact"/>
        </w:trPr>
        <w:tc>
          <w:tcPr>
            <w:tcW w:w="1348"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2</w:t>
            </w:r>
          </w:p>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392"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496"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82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6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26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496"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262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7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26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44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7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6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r>
      <w:tr>
        <w:tblPrEx>
          <w:tblCellMar>
            <w:top w:w="0" w:type="dxa"/>
            <w:left w:w="108" w:type="dxa"/>
            <w:bottom w:w="0" w:type="dxa"/>
            <w:right w:w="108" w:type="dxa"/>
          </w:tblCellMar>
        </w:tblPrEx>
        <w:trPr>
          <w:gridAfter w:val="1"/>
          <w:wAfter w:w="641" w:type="dxa"/>
          <w:trHeight w:val="425" w:hRule="exact"/>
        </w:trPr>
        <w:tc>
          <w:tcPr>
            <w:tcW w:w="1348"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3</w:t>
            </w:r>
          </w:p>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392"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496"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82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6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26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496"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262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7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26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44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7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6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r>
      <w:tr>
        <w:tblPrEx>
          <w:tblCellMar>
            <w:top w:w="0" w:type="dxa"/>
            <w:left w:w="108" w:type="dxa"/>
            <w:bottom w:w="0" w:type="dxa"/>
            <w:right w:w="108" w:type="dxa"/>
          </w:tblCellMar>
        </w:tblPrEx>
        <w:trPr>
          <w:gridAfter w:val="1"/>
          <w:wAfter w:w="641" w:type="dxa"/>
          <w:trHeight w:val="425" w:hRule="exact"/>
        </w:trPr>
        <w:tc>
          <w:tcPr>
            <w:tcW w:w="1348"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4</w:t>
            </w:r>
          </w:p>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392"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496"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82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6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26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496"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262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7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26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44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7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6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r>
      <w:tr>
        <w:tblPrEx>
          <w:tblCellMar>
            <w:top w:w="0" w:type="dxa"/>
            <w:left w:w="108" w:type="dxa"/>
            <w:bottom w:w="0" w:type="dxa"/>
            <w:right w:w="108" w:type="dxa"/>
          </w:tblCellMar>
        </w:tblPrEx>
        <w:trPr>
          <w:gridAfter w:val="1"/>
          <w:wAfter w:w="641" w:type="dxa"/>
          <w:trHeight w:val="425" w:hRule="exact"/>
        </w:trPr>
        <w:tc>
          <w:tcPr>
            <w:tcW w:w="1348"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5</w:t>
            </w:r>
          </w:p>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392"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496"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82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6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26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496"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262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7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26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44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7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6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r>
      <w:tr>
        <w:tblPrEx>
          <w:tblCellMar>
            <w:top w:w="0" w:type="dxa"/>
            <w:left w:w="108" w:type="dxa"/>
            <w:bottom w:w="0" w:type="dxa"/>
            <w:right w:w="108" w:type="dxa"/>
          </w:tblCellMar>
        </w:tblPrEx>
        <w:trPr>
          <w:gridAfter w:val="1"/>
          <w:wAfter w:w="641" w:type="dxa"/>
          <w:trHeight w:val="425" w:hRule="exact"/>
        </w:trPr>
        <w:tc>
          <w:tcPr>
            <w:tcW w:w="1348"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6</w:t>
            </w:r>
          </w:p>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392"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496"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82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6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26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496"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262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7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26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44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7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6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r>
      <w:tr>
        <w:tblPrEx>
          <w:tblCellMar>
            <w:top w:w="0" w:type="dxa"/>
            <w:left w:w="108" w:type="dxa"/>
            <w:bottom w:w="0" w:type="dxa"/>
            <w:right w:w="108" w:type="dxa"/>
          </w:tblCellMar>
        </w:tblPrEx>
        <w:trPr>
          <w:gridAfter w:val="1"/>
          <w:wAfter w:w="641" w:type="dxa"/>
          <w:trHeight w:val="425" w:hRule="exact"/>
        </w:trPr>
        <w:tc>
          <w:tcPr>
            <w:tcW w:w="1348"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7</w:t>
            </w:r>
          </w:p>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392"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496"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82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6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26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496"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262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7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26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44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7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6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r>
      <w:tr>
        <w:tblPrEx>
          <w:tblCellMar>
            <w:top w:w="0" w:type="dxa"/>
            <w:left w:w="108" w:type="dxa"/>
            <w:bottom w:w="0" w:type="dxa"/>
            <w:right w:w="108" w:type="dxa"/>
          </w:tblCellMar>
        </w:tblPrEx>
        <w:trPr>
          <w:gridAfter w:val="1"/>
          <w:wAfter w:w="641" w:type="dxa"/>
          <w:trHeight w:val="425" w:hRule="exact"/>
        </w:trPr>
        <w:tc>
          <w:tcPr>
            <w:tcW w:w="1348"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8</w:t>
            </w:r>
          </w:p>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392"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496"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82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6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26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496"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262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7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26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44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7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6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r>
      <w:tr>
        <w:tblPrEx>
          <w:tblCellMar>
            <w:top w:w="0" w:type="dxa"/>
            <w:left w:w="108" w:type="dxa"/>
            <w:bottom w:w="0" w:type="dxa"/>
            <w:right w:w="108" w:type="dxa"/>
          </w:tblCellMar>
        </w:tblPrEx>
        <w:trPr>
          <w:gridAfter w:val="1"/>
          <w:wAfter w:w="641" w:type="dxa"/>
          <w:trHeight w:val="425" w:hRule="exact"/>
        </w:trPr>
        <w:tc>
          <w:tcPr>
            <w:tcW w:w="1348"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9</w:t>
            </w:r>
          </w:p>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392"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496"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82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6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26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496"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262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7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26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44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7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6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r>
      <w:tr>
        <w:tblPrEx>
          <w:tblCellMar>
            <w:top w:w="0" w:type="dxa"/>
            <w:left w:w="108" w:type="dxa"/>
            <w:bottom w:w="0" w:type="dxa"/>
            <w:right w:w="108" w:type="dxa"/>
          </w:tblCellMar>
        </w:tblPrEx>
        <w:trPr>
          <w:gridAfter w:val="1"/>
          <w:wAfter w:w="641" w:type="dxa"/>
          <w:trHeight w:val="425" w:hRule="exact"/>
        </w:trPr>
        <w:tc>
          <w:tcPr>
            <w:tcW w:w="1348"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10</w:t>
            </w:r>
          </w:p>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392"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496"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82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6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26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496"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262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7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26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44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7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6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r>
      <w:tr>
        <w:tblPrEx>
          <w:tblCellMar>
            <w:top w:w="0" w:type="dxa"/>
            <w:left w:w="108" w:type="dxa"/>
            <w:bottom w:w="0" w:type="dxa"/>
            <w:right w:w="108" w:type="dxa"/>
          </w:tblCellMar>
        </w:tblPrEx>
        <w:trPr>
          <w:gridAfter w:val="1"/>
          <w:wAfter w:w="641" w:type="dxa"/>
          <w:trHeight w:val="425" w:hRule="exact"/>
        </w:trPr>
        <w:tc>
          <w:tcPr>
            <w:tcW w:w="1348"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11</w:t>
            </w:r>
          </w:p>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392"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496"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82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6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26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496"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262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7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26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44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7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6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r>
      <w:tr>
        <w:tblPrEx>
          <w:tblCellMar>
            <w:top w:w="0" w:type="dxa"/>
            <w:left w:w="108" w:type="dxa"/>
            <w:bottom w:w="0" w:type="dxa"/>
            <w:right w:w="108" w:type="dxa"/>
          </w:tblCellMar>
        </w:tblPrEx>
        <w:trPr>
          <w:gridAfter w:val="1"/>
          <w:wAfter w:w="641" w:type="dxa"/>
          <w:trHeight w:val="425" w:hRule="exact"/>
        </w:trPr>
        <w:tc>
          <w:tcPr>
            <w:tcW w:w="1348"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12</w:t>
            </w:r>
          </w:p>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392"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496"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82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6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26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496"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2624"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7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26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44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7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162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r>
      <w:tr>
        <w:tblPrEx>
          <w:tblCellMar>
            <w:top w:w="0" w:type="dxa"/>
            <w:left w:w="108" w:type="dxa"/>
            <w:bottom w:w="0" w:type="dxa"/>
            <w:right w:w="108" w:type="dxa"/>
          </w:tblCellMar>
        </w:tblPrEx>
        <w:trPr>
          <w:trHeight w:val="499" w:hRule="atLeast"/>
        </w:trPr>
        <w:tc>
          <w:tcPr>
            <w:tcW w:w="16461" w:type="dxa"/>
            <w:gridSpan w:val="14"/>
            <w:tcBorders>
              <w:left w:val="nil"/>
              <w:bottom w:val="nil"/>
              <w:right w:val="nil"/>
            </w:tcBorders>
            <w:noWrap/>
            <w:vAlign w:val="center"/>
          </w:tcPr>
          <w:p>
            <w:pPr>
              <w:widowControl/>
              <w:jc w:val="left"/>
              <w:rPr>
                <w:rFonts w:ascii="仿宋" w:hAnsi="仿宋" w:eastAsia="仿宋" w:cs="宋体"/>
                <w:kern w:val="0"/>
                <w:sz w:val="28"/>
                <w:szCs w:val="28"/>
              </w:rPr>
            </w:pPr>
            <w:r>
              <w:rPr>
                <w:rFonts w:hint="eastAsia" w:ascii="仿宋" w:hAnsi="仿宋" w:eastAsia="仿宋" w:cs="宋体"/>
                <w:kern w:val="0"/>
                <w:sz w:val="28"/>
                <w:szCs w:val="28"/>
              </w:rPr>
              <w:t>制表人（签名）：</w:t>
            </w:r>
          </w:p>
        </w:tc>
      </w:tr>
    </w:tbl>
    <w:p>
      <w:pPr>
        <w:ind w:firstLine="415" w:firstLineChars="150"/>
        <w:rPr>
          <w:rFonts w:ascii="仿宋" w:hAnsi="仿宋" w:eastAsia="仿宋"/>
          <w:w w:val="99"/>
          <w:sz w:val="28"/>
          <w:szCs w:val="28"/>
        </w:rPr>
        <w:sectPr>
          <w:pgSz w:w="16838" w:h="11906" w:orient="landscape"/>
          <w:pgMar w:top="851" w:right="680" w:bottom="851" w:left="680" w:header="851" w:footer="992" w:gutter="0"/>
          <w:pgNumType w:fmt="numberInDash"/>
          <w:cols w:space="720" w:num="1"/>
          <w:docGrid w:type="linesAndChars" w:linePitch="312" w:charSpace="0"/>
        </w:sectPr>
      </w:pPr>
    </w:p>
    <w:p>
      <w:pPr>
        <w:rPr>
          <w:rFonts w:ascii="仿宋" w:hAnsi="仿宋" w:eastAsia="仿宋"/>
          <w:sz w:val="28"/>
          <w:szCs w:val="28"/>
        </w:rPr>
      </w:pPr>
      <w:r>
        <w:rPr>
          <w:rFonts w:hint="eastAsia" w:ascii="仿宋" w:hAnsi="仿宋" w:eastAsia="仿宋"/>
          <w:sz w:val="28"/>
          <w:szCs w:val="28"/>
        </w:rPr>
        <w:t>附件4</w:t>
      </w:r>
    </w:p>
    <w:p>
      <w:pPr>
        <w:jc w:val="center"/>
        <w:rPr>
          <w:rFonts w:ascii="仿宋" w:hAnsi="仿宋" w:eastAsia="仿宋"/>
          <w:b/>
          <w:sz w:val="28"/>
          <w:szCs w:val="28"/>
        </w:rPr>
      </w:pPr>
      <w:r>
        <w:rPr>
          <w:rFonts w:hint="eastAsia" w:ascii="仿宋" w:hAnsi="仿宋" w:eastAsia="仿宋"/>
          <w:b/>
          <w:sz w:val="28"/>
          <w:szCs w:val="28"/>
        </w:rPr>
        <w:t>广州市康园工疗机构学员到站签到表</w:t>
      </w:r>
    </w:p>
    <w:p>
      <w:pPr>
        <w:rPr>
          <w:rFonts w:ascii="仿宋" w:hAnsi="仿宋" w:eastAsia="仿宋"/>
          <w:sz w:val="28"/>
          <w:szCs w:val="28"/>
        </w:rPr>
      </w:pPr>
    </w:p>
    <w:tbl>
      <w:tblPr>
        <w:tblStyle w:val="9"/>
        <w:tblpPr w:leftFromText="180" w:rightFromText="180" w:vertAnchor="text" w:horzAnchor="page" w:tblpX="754" w:tblpY="604"/>
        <w:tblOverlap w:val="never"/>
        <w:tblW w:w="104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8"/>
        <w:gridCol w:w="1030"/>
        <w:gridCol w:w="1552"/>
        <w:gridCol w:w="524"/>
        <w:gridCol w:w="745"/>
        <w:gridCol w:w="1166"/>
        <w:gridCol w:w="1701"/>
        <w:gridCol w:w="1428"/>
        <w:gridCol w:w="273"/>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ign w:val="center"/>
          </w:tcPr>
          <w:p>
            <w:pPr>
              <w:jc w:val="center"/>
              <w:rPr>
                <w:rFonts w:ascii="仿宋" w:hAnsi="仿宋" w:eastAsia="仿宋"/>
                <w:sz w:val="28"/>
                <w:szCs w:val="28"/>
              </w:rPr>
            </w:pPr>
            <w:r>
              <w:rPr>
                <w:rFonts w:hint="eastAsia" w:ascii="仿宋" w:hAnsi="仿宋" w:eastAsia="仿宋"/>
                <w:sz w:val="28"/>
                <w:szCs w:val="28"/>
              </w:rPr>
              <w:t>序号</w:t>
            </w:r>
          </w:p>
        </w:tc>
        <w:tc>
          <w:tcPr>
            <w:tcW w:w="1030" w:type="dxa"/>
            <w:noWrap/>
            <w:vAlign w:val="center"/>
          </w:tcPr>
          <w:p>
            <w:pPr>
              <w:jc w:val="center"/>
              <w:rPr>
                <w:rFonts w:ascii="仿宋" w:hAnsi="仿宋" w:eastAsia="仿宋"/>
                <w:sz w:val="28"/>
                <w:szCs w:val="28"/>
              </w:rPr>
            </w:pPr>
            <w:r>
              <w:rPr>
                <w:rFonts w:hint="eastAsia" w:ascii="仿宋" w:hAnsi="仿宋" w:eastAsia="仿宋"/>
                <w:sz w:val="28"/>
                <w:szCs w:val="28"/>
              </w:rPr>
              <w:t>姓名</w:t>
            </w:r>
          </w:p>
        </w:tc>
        <w:tc>
          <w:tcPr>
            <w:tcW w:w="1552" w:type="dxa"/>
            <w:noWrap/>
            <w:vAlign w:val="center"/>
          </w:tcPr>
          <w:p>
            <w:pPr>
              <w:jc w:val="center"/>
              <w:rPr>
                <w:rFonts w:ascii="仿宋" w:hAnsi="仿宋" w:eastAsia="仿宋"/>
                <w:sz w:val="28"/>
                <w:szCs w:val="28"/>
              </w:rPr>
            </w:pPr>
            <w:r>
              <w:rPr>
                <w:rFonts w:hint="eastAsia" w:ascii="仿宋" w:hAnsi="仿宋" w:eastAsia="仿宋"/>
                <w:sz w:val="28"/>
                <w:szCs w:val="28"/>
              </w:rPr>
              <w:t>上午</w:t>
            </w:r>
          </w:p>
          <w:p>
            <w:pPr>
              <w:jc w:val="center"/>
              <w:rPr>
                <w:rFonts w:ascii="仿宋" w:hAnsi="仿宋" w:eastAsia="仿宋"/>
                <w:sz w:val="28"/>
                <w:szCs w:val="28"/>
              </w:rPr>
            </w:pPr>
            <w:r>
              <w:rPr>
                <w:rFonts w:hint="eastAsia" w:ascii="仿宋" w:hAnsi="仿宋" w:eastAsia="仿宋"/>
                <w:sz w:val="28"/>
                <w:szCs w:val="28"/>
              </w:rPr>
              <w:t>到站时间</w:t>
            </w:r>
          </w:p>
        </w:tc>
        <w:tc>
          <w:tcPr>
            <w:tcW w:w="1269" w:type="dxa"/>
            <w:gridSpan w:val="2"/>
            <w:noWrap/>
          </w:tcPr>
          <w:p>
            <w:pPr>
              <w:jc w:val="center"/>
              <w:rPr>
                <w:rFonts w:ascii="仿宋" w:hAnsi="仿宋" w:eastAsia="仿宋"/>
                <w:sz w:val="28"/>
                <w:szCs w:val="28"/>
              </w:rPr>
            </w:pPr>
            <w:r>
              <w:rPr>
                <w:rFonts w:hint="eastAsia" w:ascii="仿宋" w:hAnsi="仿宋" w:eastAsia="仿宋"/>
                <w:sz w:val="28"/>
                <w:szCs w:val="28"/>
              </w:rPr>
              <w:t>体温</w:t>
            </w:r>
          </w:p>
          <w:p>
            <w:pPr>
              <w:jc w:val="center"/>
              <w:rPr>
                <w:rFonts w:ascii="仿宋" w:hAnsi="仿宋" w:eastAsia="仿宋"/>
                <w:sz w:val="28"/>
                <w:szCs w:val="28"/>
              </w:rPr>
            </w:pPr>
            <w:r>
              <w:rPr>
                <w:rFonts w:hint="eastAsia" w:ascii="仿宋" w:hAnsi="仿宋" w:eastAsia="仿宋"/>
                <w:sz w:val="28"/>
                <w:szCs w:val="28"/>
              </w:rPr>
              <w:t>（晨检）</w:t>
            </w:r>
          </w:p>
        </w:tc>
        <w:tc>
          <w:tcPr>
            <w:tcW w:w="1166" w:type="dxa"/>
            <w:noWrap/>
            <w:vAlign w:val="center"/>
          </w:tcPr>
          <w:p>
            <w:pPr>
              <w:jc w:val="center"/>
              <w:rPr>
                <w:rFonts w:ascii="仿宋" w:hAnsi="仿宋" w:eastAsia="仿宋"/>
                <w:sz w:val="28"/>
                <w:szCs w:val="28"/>
              </w:rPr>
            </w:pPr>
            <w:r>
              <w:rPr>
                <w:rFonts w:hint="eastAsia" w:ascii="仿宋" w:hAnsi="仿宋" w:eastAsia="仿宋"/>
                <w:sz w:val="28"/>
                <w:szCs w:val="28"/>
              </w:rPr>
              <w:t>签名</w:t>
            </w:r>
          </w:p>
        </w:tc>
        <w:tc>
          <w:tcPr>
            <w:tcW w:w="1701" w:type="dxa"/>
            <w:noWrap/>
            <w:vAlign w:val="center"/>
          </w:tcPr>
          <w:p>
            <w:pPr>
              <w:jc w:val="center"/>
              <w:rPr>
                <w:rFonts w:ascii="仿宋" w:hAnsi="仿宋" w:eastAsia="仿宋"/>
                <w:sz w:val="28"/>
                <w:szCs w:val="28"/>
              </w:rPr>
            </w:pPr>
            <w:r>
              <w:rPr>
                <w:rFonts w:hint="eastAsia" w:ascii="仿宋" w:hAnsi="仿宋" w:eastAsia="仿宋"/>
                <w:sz w:val="28"/>
                <w:szCs w:val="28"/>
              </w:rPr>
              <w:t>下午</w:t>
            </w:r>
          </w:p>
          <w:p>
            <w:pPr>
              <w:jc w:val="center"/>
              <w:rPr>
                <w:rFonts w:ascii="仿宋" w:hAnsi="仿宋" w:eastAsia="仿宋"/>
                <w:sz w:val="28"/>
                <w:szCs w:val="28"/>
              </w:rPr>
            </w:pPr>
            <w:r>
              <w:rPr>
                <w:rFonts w:hint="eastAsia" w:ascii="仿宋" w:hAnsi="仿宋" w:eastAsia="仿宋"/>
                <w:sz w:val="28"/>
                <w:szCs w:val="28"/>
              </w:rPr>
              <w:t>到站时间</w:t>
            </w:r>
          </w:p>
        </w:tc>
        <w:tc>
          <w:tcPr>
            <w:tcW w:w="1701" w:type="dxa"/>
            <w:gridSpan w:val="2"/>
            <w:noWrap/>
            <w:vAlign w:val="center"/>
          </w:tcPr>
          <w:p>
            <w:pPr>
              <w:jc w:val="center"/>
              <w:rPr>
                <w:rFonts w:ascii="仿宋" w:hAnsi="仿宋" w:eastAsia="仿宋"/>
                <w:sz w:val="28"/>
                <w:szCs w:val="28"/>
              </w:rPr>
            </w:pPr>
            <w:r>
              <w:rPr>
                <w:rFonts w:hint="eastAsia" w:ascii="仿宋" w:hAnsi="仿宋" w:eastAsia="仿宋"/>
                <w:sz w:val="28"/>
                <w:szCs w:val="28"/>
              </w:rPr>
              <w:t>签名</w:t>
            </w:r>
          </w:p>
        </w:tc>
        <w:tc>
          <w:tcPr>
            <w:tcW w:w="1418" w:type="dxa"/>
            <w:noWrap/>
            <w:vAlign w:val="center"/>
          </w:tcPr>
          <w:p>
            <w:pPr>
              <w:jc w:val="center"/>
              <w:rPr>
                <w:rFonts w:ascii="仿宋" w:hAnsi="仿宋" w:eastAsia="仿宋"/>
                <w:sz w:val="28"/>
                <w:szCs w:val="28"/>
              </w:rPr>
            </w:pPr>
            <w:r>
              <w:rPr>
                <w:rFonts w:hint="eastAsia" w:ascii="仿宋" w:hAnsi="仿宋" w:eastAsia="仿宋"/>
                <w:sz w:val="28"/>
                <w:szCs w:val="28"/>
              </w:rPr>
              <w:t>离站时间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ign w:val="center"/>
          </w:tcPr>
          <w:p>
            <w:pPr>
              <w:jc w:val="center"/>
              <w:rPr>
                <w:rFonts w:ascii="仿宋" w:hAnsi="仿宋" w:eastAsia="仿宋"/>
                <w:sz w:val="28"/>
                <w:szCs w:val="28"/>
              </w:rPr>
            </w:pPr>
          </w:p>
        </w:tc>
        <w:tc>
          <w:tcPr>
            <w:tcW w:w="1030" w:type="dxa"/>
            <w:noWrap/>
            <w:vAlign w:val="center"/>
          </w:tcPr>
          <w:p>
            <w:pPr>
              <w:jc w:val="center"/>
              <w:rPr>
                <w:rFonts w:ascii="仿宋" w:hAnsi="仿宋" w:eastAsia="仿宋"/>
                <w:sz w:val="28"/>
                <w:szCs w:val="28"/>
              </w:rPr>
            </w:pPr>
          </w:p>
        </w:tc>
        <w:tc>
          <w:tcPr>
            <w:tcW w:w="1552" w:type="dxa"/>
            <w:noWrap/>
            <w:vAlign w:val="center"/>
          </w:tcPr>
          <w:p>
            <w:pPr>
              <w:jc w:val="center"/>
              <w:rPr>
                <w:rFonts w:ascii="仿宋" w:hAnsi="仿宋" w:eastAsia="仿宋"/>
                <w:sz w:val="28"/>
                <w:szCs w:val="28"/>
              </w:rPr>
            </w:pPr>
          </w:p>
        </w:tc>
        <w:tc>
          <w:tcPr>
            <w:tcW w:w="1269" w:type="dxa"/>
            <w:gridSpan w:val="2"/>
            <w:noWrap/>
          </w:tcPr>
          <w:p>
            <w:pPr>
              <w:jc w:val="center"/>
              <w:rPr>
                <w:rFonts w:ascii="仿宋" w:hAnsi="仿宋" w:eastAsia="仿宋"/>
                <w:sz w:val="28"/>
                <w:szCs w:val="28"/>
              </w:rPr>
            </w:pPr>
          </w:p>
        </w:tc>
        <w:tc>
          <w:tcPr>
            <w:tcW w:w="1166" w:type="dxa"/>
            <w:noWrap/>
            <w:vAlign w:val="center"/>
          </w:tcPr>
          <w:p>
            <w:pPr>
              <w:jc w:val="center"/>
              <w:rPr>
                <w:rFonts w:ascii="仿宋" w:hAnsi="仿宋" w:eastAsia="仿宋"/>
                <w:sz w:val="28"/>
                <w:szCs w:val="28"/>
              </w:rPr>
            </w:pPr>
          </w:p>
        </w:tc>
        <w:tc>
          <w:tcPr>
            <w:tcW w:w="1701" w:type="dxa"/>
            <w:noWrap/>
            <w:vAlign w:val="center"/>
          </w:tcPr>
          <w:p>
            <w:pPr>
              <w:jc w:val="center"/>
              <w:rPr>
                <w:rFonts w:ascii="仿宋" w:hAnsi="仿宋" w:eastAsia="仿宋"/>
                <w:sz w:val="28"/>
                <w:szCs w:val="28"/>
              </w:rPr>
            </w:pPr>
          </w:p>
        </w:tc>
        <w:tc>
          <w:tcPr>
            <w:tcW w:w="1701" w:type="dxa"/>
            <w:gridSpan w:val="2"/>
            <w:noWrap/>
            <w:vAlign w:val="center"/>
          </w:tcPr>
          <w:p>
            <w:pPr>
              <w:jc w:val="center"/>
              <w:rPr>
                <w:rFonts w:ascii="仿宋" w:hAnsi="仿宋" w:eastAsia="仿宋"/>
                <w:sz w:val="28"/>
                <w:szCs w:val="28"/>
              </w:rPr>
            </w:pPr>
          </w:p>
        </w:tc>
        <w:tc>
          <w:tcPr>
            <w:tcW w:w="1418" w:type="dxa"/>
            <w:noWrap/>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ign w:val="center"/>
          </w:tcPr>
          <w:p>
            <w:pPr>
              <w:jc w:val="center"/>
              <w:rPr>
                <w:rFonts w:ascii="仿宋" w:hAnsi="仿宋" w:eastAsia="仿宋"/>
                <w:sz w:val="28"/>
                <w:szCs w:val="28"/>
              </w:rPr>
            </w:pPr>
          </w:p>
        </w:tc>
        <w:tc>
          <w:tcPr>
            <w:tcW w:w="1030" w:type="dxa"/>
            <w:noWrap/>
            <w:vAlign w:val="center"/>
          </w:tcPr>
          <w:p>
            <w:pPr>
              <w:jc w:val="center"/>
              <w:rPr>
                <w:rFonts w:ascii="仿宋" w:hAnsi="仿宋" w:eastAsia="仿宋"/>
                <w:sz w:val="28"/>
                <w:szCs w:val="28"/>
              </w:rPr>
            </w:pPr>
          </w:p>
        </w:tc>
        <w:tc>
          <w:tcPr>
            <w:tcW w:w="1552" w:type="dxa"/>
            <w:noWrap/>
            <w:vAlign w:val="center"/>
          </w:tcPr>
          <w:p>
            <w:pPr>
              <w:jc w:val="center"/>
              <w:rPr>
                <w:rFonts w:ascii="仿宋" w:hAnsi="仿宋" w:eastAsia="仿宋"/>
                <w:sz w:val="28"/>
                <w:szCs w:val="28"/>
              </w:rPr>
            </w:pPr>
          </w:p>
        </w:tc>
        <w:tc>
          <w:tcPr>
            <w:tcW w:w="1269" w:type="dxa"/>
            <w:gridSpan w:val="2"/>
            <w:noWrap/>
          </w:tcPr>
          <w:p>
            <w:pPr>
              <w:jc w:val="center"/>
              <w:rPr>
                <w:rFonts w:ascii="仿宋" w:hAnsi="仿宋" w:eastAsia="仿宋"/>
                <w:sz w:val="28"/>
                <w:szCs w:val="28"/>
              </w:rPr>
            </w:pPr>
          </w:p>
        </w:tc>
        <w:tc>
          <w:tcPr>
            <w:tcW w:w="1166" w:type="dxa"/>
            <w:noWrap/>
            <w:vAlign w:val="center"/>
          </w:tcPr>
          <w:p>
            <w:pPr>
              <w:jc w:val="center"/>
              <w:rPr>
                <w:rFonts w:ascii="仿宋" w:hAnsi="仿宋" w:eastAsia="仿宋"/>
                <w:sz w:val="28"/>
                <w:szCs w:val="28"/>
              </w:rPr>
            </w:pPr>
          </w:p>
        </w:tc>
        <w:tc>
          <w:tcPr>
            <w:tcW w:w="1701" w:type="dxa"/>
            <w:noWrap/>
            <w:vAlign w:val="center"/>
          </w:tcPr>
          <w:p>
            <w:pPr>
              <w:jc w:val="center"/>
              <w:rPr>
                <w:rFonts w:ascii="仿宋" w:hAnsi="仿宋" w:eastAsia="仿宋"/>
                <w:sz w:val="28"/>
                <w:szCs w:val="28"/>
              </w:rPr>
            </w:pPr>
          </w:p>
        </w:tc>
        <w:tc>
          <w:tcPr>
            <w:tcW w:w="1701" w:type="dxa"/>
            <w:gridSpan w:val="2"/>
            <w:noWrap/>
            <w:vAlign w:val="center"/>
          </w:tcPr>
          <w:p>
            <w:pPr>
              <w:jc w:val="center"/>
              <w:rPr>
                <w:rFonts w:ascii="仿宋" w:hAnsi="仿宋" w:eastAsia="仿宋"/>
                <w:sz w:val="28"/>
                <w:szCs w:val="28"/>
              </w:rPr>
            </w:pPr>
          </w:p>
        </w:tc>
        <w:tc>
          <w:tcPr>
            <w:tcW w:w="1418" w:type="dxa"/>
            <w:noWrap/>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8" w:type="dxa"/>
            <w:noWrap/>
            <w:vAlign w:val="center"/>
          </w:tcPr>
          <w:p>
            <w:pPr>
              <w:jc w:val="center"/>
              <w:rPr>
                <w:rFonts w:ascii="仿宋" w:hAnsi="仿宋" w:eastAsia="仿宋"/>
                <w:sz w:val="28"/>
                <w:szCs w:val="28"/>
              </w:rPr>
            </w:pPr>
          </w:p>
        </w:tc>
        <w:tc>
          <w:tcPr>
            <w:tcW w:w="1030" w:type="dxa"/>
            <w:noWrap/>
            <w:vAlign w:val="center"/>
          </w:tcPr>
          <w:p>
            <w:pPr>
              <w:jc w:val="center"/>
              <w:rPr>
                <w:rFonts w:ascii="仿宋" w:hAnsi="仿宋" w:eastAsia="仿宋"/>
                <w:sz w:val="28"/>
                <w:szCs w:val="28"/>
              </w:rPr>
            </w:pPr>
          </w:p>
        </w:tc>
        <w:tc>
          <w:tcPr>
            <w:tcW w:w="1552" w:type="dxa"/>
            <w:noWrap/>
            <w:vAlign w:val="center"/>
          </w:tcPr>
          <w:p>
            <w:pPr>
              <w:jc w:val="center"/>
              <w:rPr>
                <w:rFonts w:ascii="仿宋" w:hAnsi="仿宋" w:eastAsia="仿宋"/>
                <w:sz w:val="28"/>
                <w:szCs w:val="28"/>
              </w:rPr>
            </w:pPr>
          </w:p>
        </w:tc>
        <w:tc>
          <w:tcPr>
            <w:tcW w:w="1269" w:type="dxa"/>
            <w:gridSpan w:val="2"/>
            <w:noWrap/>
          </w:tcPr>
          <w:p>
            <w:pPr>
              <w:jc w:val="center"/>
              <w:rPr>
                <w:rFonts w:ascii="仿宋" w:hAnsi="仿宋" w:eastAsia="仿宋"/>
                <w:sz w:val="28"/>
                <w:szCs w:val="28"/>
              </w:rPr>
            </w:pPr>
          </w:p>
        </w:tc>
        <w:tc>
          <w:tcPr>
            <w:tcW w:w="1166" w:type="dxa"/>
            <w:noWrap/>
            <w:vAlign w:val="center"/>
          </w:tcPr>
          <w:p>
            <w:pPr>
              <w:jc w:val="center"/>
              <w:rPr>
                <w:rFonts w:ascii="仿宋" w:hAnsi="仿宋" w:eastAsia="仿宋"/>
                <w:sz w:val="28"/>
                <w:szCs w:val="28"/>
              </w:rPr>
            </w:pPr>
          </w:p>
        </w:tc>
        <w:tc>
          <w:tcPr>
            <w:tcW w:w="1701" w:type="dxa"/>
            <w:noWrap/>
            <w:vAlign w:val="center"/>
          </w:tcPr>
          <w:p>
            <w:pPr>
              <w:jc w:val="center"/>
              <w:rPr>
                <w:rFonts w:ascii="仿宋" w:hAnsi="仿宋" w:eastAsia="仿宋"/>
                <w:sz w:val="28"/>
                <w:szCs w:val="28"/>
              </w:rPr>
            </w:pPr>
          </w:p>
        </w:tc>
        <w:tc>
          <w:tcPr>
            <w:tcW w:w="1701" w:type="dxa"/>
            <w:gridSpan w:val="2"/>
            <w:noWrap/>
            <w:vAlign w:val="center"/>
          </w:tcPr>
          <w:p>
            <w:pPr>
              <w:jc w:val="center"/>
              <w:rPr>
                <w:rFonts w:ascii="仿宋" w:hAnsi="仿宋" w:eastAsia="仿宋"/>
                <w:sz w:val="28"/>
                <w:szCs w:val="28"/>
              </w:rPr>
            </w:pPr>
          </w:p>
        </w:tc>
        <w:tc>
          <w:tcPr>
            <w:tcW w:w="1418" w:type="dxa"/>
            <w:noWrap/>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ign w:val="center"/>
          </w:tcPr>
          <w:p>
            <w:pPr>
              <w:jc w:val="center"/>
              <w:rPr>
                <w:rFonts w:ascii="仿宋" w:hAnsi="仿宋" w:eastAsia="仿宋"/>
                <w:sz w:val="28"/>
                <w:szCs w:val="28"/>
              </w:rPr>
            </w:pPr>
          </w:p>
        </w:tc>
        <w:tc>
          <w:tcPr>
            <w:tcW w:w="1030" w:type="dxa"/>
            <w:noWrap/>
            <w:vAlign w:val="center"/>
          </w:tcPr>
          <w:p>
            <w:pPr>
              <w:jc w:val="center"/>
              <w:rPr>
                <w:rFonts w:ascii="仿宋" w:hAnsi="仿宋" w:eastAsia="仿宋"/>
                <w:sz w:val="28"/>
                <w:szCs w:val="28"/>
              </w:rPr>
            </w:pPr>
          </w:p>
        </w:tc>
        <w:tc>
          <w:tcPr>
            <w:tcW w:w="1552" w:type="dxa"/>
            <w:noWrap/>
            <w:vAlign w:val="center"/>
          </w:tcPr>
          <w:p>
            <w:pPr>
              <w:jc w:val="center"/>
              <w:rPr>
                <w:rFonts w:ascii="仿宋" w:hAnsi="仿宋" w:eastAsia="仿宋"/>
                <w:sz w:val="28"/>
                <w:szCs w:val="28"/>
              </w:rPr>
            </w:pPr>
          </w:p>
        </w:tc>
        <w:tc>
          <w:tcPr>
            <w:tcW w:w="1269" w:type="dxa"/>
            <w:gridSpan w:val="2"/>
            <w:noWrap/>
          </w:tcPr>
          <w:p>
            <w:pPr>
              <w:jc w:val="center"/>
              <w:rPr>
                <w:rFonts w:ascii="仿宋" w:hAnsi="仿宋" w:eastAsia="仿宋"/>
                <w:sz w:val="28"/>
                <w:szCs w:val="28"/>
              </w:rPr>
            </w:pPr>
          </w:p>
        </w:tc>
        <w:tc>
          <w:tcPr>
            <w:tcW w:w="1166" w:type="dxa"/>
            <w:noWrap/>
            <w:vAlign w:val="center"/>
          </w:tcPr>
          <w:p>
            <w:pPr>
              <w:jc w:val="center"/>
              <w:rPr>
                <w:rFonts w:ascii="仿宋" w:hAnsi="仿宋" w:eastAsia="仿宋"/>
                <w:sz w:val="28"/>
                <w:szCs w:val="28"/>
              </w:rPr>
            </w:pPr>
          </w:p>
        </w:tc>
        <w:tc>
          <w:tcPr>
            <w:tcW w:w="1701" w:type="dxa"/>
            <w:noWrap/>
            <w:vAlign w:val="center"/>
          </w:tcPr>
          <w:p>
            <w:pPr>
              <w:jc w:val="center"/>
              <w:rPr>
                <w:rFonts w:ascii="仿宋" w:hAnsi="仿宋" w:eastAsia="仿宋"/>
                <w:sz w:val="28"/>
                <w:szCs w:val="28"/>
              </w:rPr>
            </w:pPr>
          </w:p>
        </w:tc>
        <w:tc>
          <w:tcPr>
            <w:tcW w:w="1701" w:type="dxa"/>
            <w:gridSpan w:val="2"/>
            <w:noWrap/>
            <w:vAlign w:val="center"/>
          </w:tcPr>
          <w:p>
            <w:pPr>
              <w:jc w:val="center"/>
              <w:rPr>
                <w:rFonts w:ascii="仿宋" w:hAnsi="仿宋" w:eastAsia="仿宋"/>
                <w:sz w:val="28"/>
                <w:szCs w:val="28"/>
              </w:rPr>
            </w:pPr>
          </w:p>
        </w:tc>
        <w:tc>
          <w:tcPr>
            <w:tcW w:w="1418" w:type="dxa"/>
            <w:noWrap/>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ign w:val="center"/>
          </w:tcPr>
          <w:p>
            <w:pPr>
              <w:jc w:val="center"/>
              <w:rPr>
                <w:rFonts w:ascii="仿宋" w:hAnsi="仿宋" w:eastAsia="仿宋"/>
                <w:sz w:val="28"/>
                <w:szCs w:val="28"/>
              </w:rPr>
            </w:pPr>
          </w:p>
        </w:tc>
        <w:tc>
          <w:tcPr>
            <w:tcW w:w="1030" w:type="dxa"/>
            <w:noWrap/>
            <w:vAlign w:val="center"/>
          </w:tcPr>
          <w:p>
            <w:pPr>
              <w:jc w:val="center"/>
              <w:rPr>
                <w:rFonts w:ascii="仿宋" w:hAnsi="仿宋" w:eastAsia="仿宋"/>
                <w:sz w:val="28"/>
                <w:szCs w:val="28"/>
              </w:rPr>
            </w:pPr>
          </w:p>
        </w:tc>
        <w:tc>
          <w:tcPr>
            <w:tcW w:w="1552" w:type="dxa"/>
            <w:noWrap/>
            <w:vAlign w:val="center"/>
          </w:tcPr>
          <w:p>
            <w:pPr>
              <w:jc w:val="center"/>
              <w:rPr>
                <w:rFonts w:ascii="仿宋" w:hAnsi="仿宋" w:eastAsia="仿宋"/>
                <w:sz w:val="28"/>
                <w:szCs w:val="28"/>
              </w:rPr>
            </w:pPr>
          </w:p>
        </w:tc>
        <w:tc>
          <w:tcPr>
            <w:tcW w:w="1269" w:type="dxa"/>
            <w:gridSpan w:val="2"/>
            <w:noWrap/>
          </w:tcPr>
          <w:p>
            <w:pPr>
              <w:jc w:val="center"/>
              <w:rPr>
                <w:rFonts w:ascii="仿宋" w:hAnsi="仿宋" w:eastAsia="仿宋"/>
                <w:sz w:val="28"/>
                <w:szCs w:val="28"/>
              </w:rPr>
            </w:pPr>
          </w:p>
        </w:tc>
        <w:tc>
          <w:tcPr>
            <w:tcW w:w="1166" w:type="dxa"/>
            <w:noWrap/>
            <w:vAlign w:val="center"/>
          </w:tcPr>
          <w:p>
            <w:pPr>
              <w:jc w:val="center"/>
              <w:rPr>
                <w:rFonts w:ascii="仿宋" w:hAnsi="仿宋" w:eastAsia="仿宋"/>
                <w:sz w:val="28"/>
                <w:szCs w:val="28"/>
              </w:rPr>
            </w:pPr>
          </w:p>
        </w:tc>
        <w:tc>
          <w:tcPr>
            <w:tcW w:w="1701" w:type="dxa"/>
            <w:noWrap/>
            <w:vAlign w:val="center"/>
          </w:tcPr>
          <w:p>
            <w:pPr>
              <w:jc w:val="center"/>
              <w:rPr>
                <w:rFonts w:ascii="仿宋" w:hAnsi="仿宋" w:eastAsia="仿宋"/>
                <w:sz w:val="28"/>
                <w:szCs w:val="28"/>
              </w:rPr>
            </w:pPr>
          </w:p>
        </w:tc>
        <w:tc>
          <w:tcPr>
            <w:tcW w:w="1701" w:type="dxa"/>
            <w:gridSpan w:val="2"/>
            <w:noWrap/>
            <w:vAlign w:val="center"/>
          </w:tcPr>
          <w:p>
            <w:pPr>
              <w:jc w:val="center"/>
              <w:rPr>
                <w:rFonts w:ascii="仿宋" w:hAnsi="仿宋" w:eastAsia="仿宋"/>
                <w:sz w:val="28"/>
                <w:szCs w:val="28"/>
              </w:rPr>
            </w:pPr>
          </w:p>
        </w:tc>
        <w:tc>
          <w:tcPr>
            <w:tcW w:w="1418" w:type="dxa"/>
            <w:noWrap/>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ign w:val="center"/>
          </w:tcPr>
          <w:p>
            <w:pPr>
              <w:jc w:val="center"/>
              <w:rPr>
                <w:rFonts w:ascii="仿宋" w:hAnsi="仿宋" w:eastAsia="仿宋"/>
                <w:sz w:val="28"/>
                <w:szCs w:val="28"/>
              </w:rPr>
            </w:pPr>
          </w:p>
        </w:tc>
        <w:tc>
          <w:tcPr>
            <w:tcW w:w="1030" w:type="dxa"/>
            <w:noWrap/>
            <w:vAlign w:val="center"/>
          </w:tcPr>
          <w:p>
            <w:pPr>
              <w:jc w:val="center"/>
              <w:rPr>
                <w:rFonts w:ascii="仿宋" w:hAnsi="仿宋" w:eastAsia="仿宋"/>
                <w:sz w:val="28"/>
                <w:szCs w:val="28"/>
              </w:rPr>
            </w:pPr>
          </w:p>
        </w:tc>
        <w:tc>
          <w:tcPr>
            <w:tcW w:w="1552" w:type="dxa"/>
            <w:noWrap/>
            <w:vAlign w:val="center"/>
          </w:tcPr>
          <w:p>
            <w:pPr>
              <w:jc w:val="center"/>
              <w:rPr>
                <w:rFonts w:ascii="仿宋" w:hAnsi="仿宋" w:eastAsia="仿宋"/>
                <w:sz w:val="28"/>
                <w:szCs w:val="28"/>
              </w:rPr>
            </w:pPr>
          </w:p>
        </w:tc>
        <w:tc>
          <w:tcPr>
            <w:tcW w:w="1269" w:type="dxa"/>
            <w:gridSpan w:val="2"/>
            <w:noWrap/>
          </w:tcPr>
          <w:p>
            <w:pPr>
              <w:jc w:val="center"/>
              <w:rPr>
                <w:rFonts w:ascii="仿宋" w:hAnsi="仿宋" w:eastAsia="仿宋"/>
                <w:sz w:val="28"/>
                <w:szCs w:val="28"/>
              </w:rPr>
            </w:pPr>
          </w:p>
        </w:tc>
        <w:tc>
          <w:tcPr>
            <w:tcW w:w="1166" w:type="dxa"/>
            <w:noWrap/>
            <w:vAlign w:val="center"/>
          </w:tcPr>
          <w:p>
            <w:pPr>
              <w:jc w:val="center"/>
              <w:rPr>
                <w:rFonts w:ascii="仿宋" w:hAnsi="仿宋" w:eastAsia="仿宋"/>
                <w:sz w:val="28"/>
                <w:szCs w:val="28"/>
              </w:rPr>
            </w:pPr>
          </w:p>
        </w:tc>
        <w:tc>
          <w:tcPr>
            <w:tcW w:w="1701" w:type="dxa"/>
            <w:noWrap/>
            <w:vAlign w:val="center"/>
          </w:tcPr>
          <w:p>
            <w:pPr>
              <w:jc w:val="center"/>
              <w:rPr>
                <w:rFonts w:ascii="仿宋" w:hAnsi="仿宋" w:eastAsia="仿宋"/>
                <w:sz w:val="28"/>
                <w:szCs w:val="28"/>
              </w:rPr>
            </w:pPr>
          </w:p>
        </w:tc>
        <w:tc>
          <w:tcPr>
            <w:tcW w:w="1701" w:type="dxa"/>
            <w:gridSpan w:val="2"/>
            <w:noWrap/>
            <w:vAlign w:val="center"/>
          </w:tcPr>
          <w:p>
            <w:pPr>
              <w:jc w:val="center"/>
              <w:rPr>
                <w:rFonts w:ascii="仿宋" w:hAnsi="仿宋" w:eastAsia="仿宋"/>
                <w:sz w:val="28"/>
                <w:szCs w:val="28"/>
              </w:rPr>
            </w:pPr>
          </w:p>
        </w:tc>
        <w:tc>
          <w:tcPr>
            <w:tcW w:w="1418" w:type="dxa"/>
            <w:noWrap/>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8" w:type="dxa"/>
            <w:noWrap/>
            <w:vAlign w:val="center"/>
          </w:tcPr>
          <w:p>
            <w:pPr>
              <w:jc w:val="center"/>
              <w:rPr>
                <w:rFonts w:ascii="仿宋" w:hAnsi="仿宋" w:eastAsia="仿宋"/>
                <w:sz w:val="28"/>
                <w:szCs w:val="28"/>
              </w:rPr>
            </w:pPr>
          </w:p>
        </w:tc>
        <w:tc>
          <w:tcPr>
            <w:tcW w:w="1030" w:type="dxa"/>
            <w:noWrap/>
            <w:vAlign w:val="center"/>
          </w:tcPr>
          <w:p>
            <w:pPr>
              <w:jc w:val="center"/>
              <w:rPr>
                <w:rFonts w:ascii="仿宋" w:hAnsi="仿宋" w:eastAsia="仿宋"/>
                <w:sz w:val="28"/>
                <w:szCs w:val="28"/>
              </w:rPr>
            </w:pPr>
          </w:p>
        </w:tc>
        <w:tc>
          <w:tcPr>
            <w:tcW w:w="1552" w:type="dxa"/>
            <w:noWrap/>
            <w:vAlign w:val="center"/>
          </w:tcPr>
          <w:p>
            <w:pPr>
              <w:jc w:val="center"/>
              <w:rPr>
                <w:rFonts w:ascii="仿宋" w:hAnsi="仿宋" w:eastAsia="仿宋"/>
                <w:sz w:val="28"/>
                <w:szCs w:val="28"/>
              </w:rPr>
            </w:pPr>
          </w:p>
        </w:tc>
        <w:tc>
          <w:tcPr>
            <w:tcW w:w="1269" w:type="dxa"/>
            <w:gridSpan w:val="2"/>
            <w:noWrap/>
          </w:tcPr>
          <w:p>
            <w:pPr>
              <w:jc w:val="center"/>
              <w:rPr>
                <w:rFonts w:ascii="仿宋" w:hAnsi="仿宋" w:eastAsia="仿宋"/>
                <w:sz w:val="28"/>
                <w:szCs w:val="28"/>
              </w:rPr>
            </w:pPr>
          </w:p>
        </w:tc>
        <w:tc>
          <w:tcPr>
            <w:tcW w:w="1166" w:type="dxa"/>
            <w:noWrap/>
            <w:vAlign w:val="center"/>
          </w:tcPr>
          <w:p>
            <w:pPr>
              <w:jc w:val="center"/>
              <w:rPr>
                <w:rFonts w:ascii="仿宋" w:hAnsi="仿宋" w:eastAsia="仿宋"/>
                <w:sz w:val="28"/>
                <w:szCs w:val="28"/>
              </w:rPr>
            </w:pPr>
          </w:p>
        </w:tc>
        <w:tc>
          <w:tcPr>
            <w:tcW w:w="1701" w:type="dxa"/>
            <w:noWrap/>
            <w:vAlign w:val="center"/>
          </w:tcPr>
          <w:p>
            <w:pPr>
              <w:jc w:val="center"/>
              <w:rPr>
                <w:rFonts w:ascii="仿宋" w:hAnsi="仿宋" w:eastAsia="仿宋"/>
                <w:sz w:val="28"/>
                <w:szCs w:val="28"/>
              </w:rPr>
            </w:pPr>
          </w:p>
        </w:tc>
        <w:tc>
          <w:tcPr>
            <w:tcW w:w="1701" w:type="dxa"/>
            <w:gridSpan w:val="2"/>
            <w:noWrap/>
            <w:vAlign w:val="center"/>
          </w:tcPr>
          <w:p>
            <w:pPr>
              <w:jc w:val="center"/>
              <w:rPr>
                <w:rFonts w:ascii="仿宋" w:hAnsi="仿宋" w:eastAsia="仿宋"/>
                <w:sz w:val="28"/>
                <w:szCs w:val="28"/>
              </w:rPr>
            </w:pPr>
          </w:p>
        </w:tc>
        <w:tc>
          <w:tcPr>
            <w:tcW w:w="1418" w:type="dxa"/>
            <w:noWrap/>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ign w:val="center"/>
          </w:tcPr>
          <w:p>
            <w:pPr>
              <w:jc w:val="center"/>
              <w:rPr>
                <w:rFonts w:ascii="仿宋" w:hAnsi="仿宋" w:eastAsia="仿宋"/>
                <w:sz w:val="28"/>
                <w:szCs w:val="28"/>
              </w:rPr>
            </w:pPr>
          </w:p>
        </w:tc>
        <w:tc>
          <w:tcPr>
            <w:tcW w:w="1030" w:type="dxa"/>
            <w:noWrap/>
            <w:vAlign w:val="center"/>
          </w:tcPr>
          <w:p>
            <w:pPr>
              <w:jc w:val="center"/>
              <w:rPr>
                <w:rFonts w:ascii="仿宋" w:hAnsi="仿宋" w:eastAsia="仿宋"/>
                <w:sz w:val="28"/>
                <w:szCs w:val="28"/>
              </w:rPr>
            </w:pPr>
          </w:p>
        </w:tc>
        <w:tc>
          <w:tcPr>
            <w:tcW w:w="1552" w:type="dxa"/>
            <w:noWrap/>
            <w:vAlign w:val="center"/>
          </w:tcPr>
          <w:p>
            <w:pPr>
              <w:jc w:val="center"/>
              <w:rPr>
                <w:rFonts w:ascii="仿宋" w:hAnsi="仿宋" w:eastAsia="仿宋"/>
                <w:sz w:val="28"/>
                <w:szCs w:val="28"/>
              </w:rPr>
            </w:pPr>
          </w:p>
        </w:tc>
        <w:tc>
          <w:tcPr>
            <w:tcW w:w="1269" w:type="dxa"/>
            <w:gridSpan w:val="2"/>
            <w:noWrap/>
          </w:tcPr>
          <w:p>
            <w:pPr>
              <w:jc w:val="center"/>
              <w:rPr>
                <w:rFonts w:ascii="仿宋" w:hAnsi="仿宋" w:eastAsia="仿宋"/>
                <w:sz w:val="28"/>
                <w:szCs w:val="28"/>
              </w:rPr>
            </w:pPr>
          </w:p>
        </w:tc>
        <w:tc>
          <w:tcPr>
            <w:tcW w:w="1166" w:type="dxa"/>
            <w:noWrap/>
            <w:vAlign w:val="center"/>
          </w:tcPr>
          <w:p>
            <w:pPr>
              <w:jc w:val="center"/>
              <w:rPr>
                <w:rFonts w:ascii="仿宋" w:hAnsi="仿宋" w:eastAsia="仿宋"/>
                <w:sz w:val="28"/>
                <w:szCs w:val="28"/>
              </w:rPr>
            </w:pPr>
          </w:p>
        </w:tc>
        <w:tc>
          <w:tcPr>
            <w:tcW w:w="1701" w:type="dxa"/>
            <w:noWrap/>
            <w:vAlign w:val="center"/>
          </w:tcPr>
          <w:p>
            <w:pPr>
              <w:jc w:val="center"/>
              <w:rPr>
                <w:rFonts w:ascii="仿宋" w:hAnsi="仿宋" w:eastAsia="仿宋"/>
                <w:sz w:val="28"/>
                <w:szCs w:val="28"/>
              </w:rPr>
            </w:pPr>
          </w:p>
        </w:tc>
        <w:tc>
          <w:tcPr>
            <w:tcW w:w="1701" w:type="dxa"/>
            <w:gridSpan w:val="2"/>
            <w:noWrap/>
            <w:vAlign w:val="center"/>
          </w:tcPr>
          <w:p>
            <w:pPr>
              <w:jc w:val="center"/>
              <w:rPr>
                <w:rFonts w:ascii="仿宋" w:hAnsi="仿宋" w:eastAsia="仿宋"/>
                <w:sz w:val="28"/>
                <w:szCs w:val="28"/>
              </w:rPr>
            </w:pPr>
          </w:p>
        </w:tc>
        <w:tc>
          <w:tcPr>
            <w:tcW w:w="1418" w:type="dxa"/>
            <w:noWrap/>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ign w:val="center"/>
          </w:tcPr>
          <w:p>
            <w:pPr>
              <w:jc w:val="center"/>
              <w:rPr>
                <w:rFonts w:ascii="仿宋" w:hAnsi="仿宋" w:eastAsia="仿宋"/>
                <w:sz w:val="28"/>
                <w:szCs w:val="28"/>
              </w:rPr>
            </w:pPr>
          </w:p>
        </w:tc>
        <w:tc>
          <w:tcPr>
            <w:tcW w:w="1030" w:type="dxa"/>
            <w:noWrap/>
            <w:vAlign w:val="center"/>
          </w:tcPr>
          <w:p>
            <w:pPr>
              <w:jc w:val="center"/>
              <w:rPr>
                <w:rFonts w:ascii="仿宋" w:hAnsi="仿宋" w:eastAsia="仿宋"/>
                <w:sz w:val="28"/>
                <w:szCs w:val="28"/>
              </w:rPr>
            </w:pPr>
          </w:p>
        </w:tc>
        <w:tc>
          <w:tcPr>
            <w:tcW w:w="1552" w:type="dxa"/>
            <w:noWrap/>
            <w:vAlign w:val="center"/>
          </w:tcPr>
          <w:p>
            <w:pPr>
              <w:jc w:val="center"/>
              <w:rPr>
                <w:rFonts w:ascii="仿宋" w:hAnsi="仿宋" w:eastAsia="仿宋"/>
                <w:sz w:val="28"/>
                <w:szCs w:val="28"/>
              </w:rPr>
            </w:pPr>
          </w:p>
        </w:tc>
        <w:tc>
          <w:tcPr>
            <w:tcW w:w="1269" w:type="dxa"/>
            <w:gridSpan w:val="2"/>
            <w:noWrap/>
          </w:tcPr>
          <w:p>
            <w:pPr>
              <w:jc w:val="center"/>
              <w:rPr>
                <w:rFonts w:ascii="仿宋" w:hAnsi="仿宋" w:eastAsia="仿宋"/>
                <w:sz w:val="28"/>
                <w:szCs w:val="28"/>
              </w:rPr>
            </w:pPr>
          </w:p>
        </w:tc>
        <w:tc>
          <w:tcPr>
            <w:tcW w:w="1166" w:type="dxa"/>
            <w:noWrap/>
            <w:vAlign w:val="center"/>
          </w:tcPr>
          <w:p>
            <w:pPr>
              <w:jc w:val="center"/>
              <w:rPr>
                <w:rFonts w:ascii="仿宋" w:hAnsi="仿宋" w:eastAsia="仿宋"/>
                <w:sz w:val="28"/>
                <w:szCs w:val="28"/>
              </w:rPr>
            </w:pPr>
          </w:p>
        </w:tc>
        <w:tc>
          <w:tcPr>
            <w:tcW w:w="1701" w:type="dxa"/>
            <w:noWrap/>
            <w:vAlign w:val="center"/>
          </w:tcPr>
          <w:p>
            <w:pPr>
              <w:jc w:val="center"/>
              <w:rPr>
                <w:rFonts w:ascii="仿宋" w:hAnsi="仿宋" w:eastAsia="仿宋"/>
                <w:sz w:val="28"/>
                <w:szCs w:val="28"/>
              </w:rPr>
            </w:pPr>
          </w:p>
        </w:tc>
        <w:tc>
          <w:tcPr>
            <w:tcW w:w="1701" w:type="dxa"/>
            <w:gridSpan w:val="2"/>
            <w:noWrap/>
            <w:vAlign w:val="center"/>
          </w:tcPr>
          <w:p>
            <w:pPr>
              <w:jc w:val="center"/>
              <w:rPr>
                <w:rFonts w:ascii="仿宋" w:hAnsi="仿宋" w:eastAsia="仿宋"/>
                <w:sz w:val="28"/>
                <w:szCs w:val="28"/>
              </w:rPr>
            </w:pPr>
          </w:p>
        </w:tc>
        <w:tc>
          <w:tcPr>
            <w:tcW w:w="1418" w:type="dxa"/>
            <w:noWrap/>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ign w:val="center"/>
          </w:tcPr>
          <w:p>
            <w:pPr>
              <w:jc w:val="center"/>
              <w:rPr>
                <w:rFonts w:ascii="仿宋" w:hAnsi="仿宋" w:eastAsia="仿宋"/>
                <w:sz w:val="28"/>
                <w:szCs w:val="28"/>
              </w:rPr>
            </w:pPr>
          </w:p>
        </w:tc>
        <w:tc>
          <w:tcPr>
            <w:tcW w:w="1030" w:type="dxa"/>
            <w:noWrap/>
            <w:vAlign w:val="center"/>
          </w:tcPr>
          <w:p>
            <w:pPr>
              <w:jc w:val="center"/>
              <w:rPr>
                <w:rFonts w:ascii="仿宋" w:hAnsi="仿宋" w:eastAsia="仿宋"/>
                <w:sz w:val="28"/>
                <w:szCs w:val="28"/>
              </w:rPr>
            </w:pPr>
          </w:p>
        </w:tc>
        <w:tc>
          <w:tcPr>
            <w:tcW w:w="1552" w:type="dxa"/>
            <w:noWrap/>
            <w:vAlign w:val="center"/>
          </w:tcPr>
          <w:p>
            <w:pPr>
              <w:jc w:val="center"/>
              <w:rPr>
                <w:rFonts w:ascii="仿宋" w:hAnsi="仿宋" w:eastAsia="仿宋"/>
                <w:sz w:val="28"/>
                <w:szCs w:val="28"/>
              </w:rPr>
            </w:pPr>
          </w:p>
        </w:tc>
        <w:tc>
          <w:tcPr>
            <w:tcW w:w="1269" w:type="dxa"/>
            <w:gridSpan w:val="2"/>
            <w:noWrap/>
          </w:tcPr>
          <w:p>
            <w:pPr>
              <w:jc w:val="center"/>
              <w:rPr>
                <w:rFonts w:ascii="仿宋" w:hAnsi="仿宋" w:eastAsia="仿宋"/>
                <w:sz w:val="28"/>
                <w:szCs w:val="28"/>
              </w:rPr>
            </w:pPr>
          </w:p>
        </w:tc>
        <w:tc>
          <w:tcPr>
            <w:tcW w:w="1166" w:type="dxa"/>
            <w:noWrap/>
            <w:vAlign w:val="center"/>
          </w:tcPr>
          <w:p>
            <w:pPr>
              <w:jc w:val="center"/>
              <w:rPr>
                <w:rFonts w:ascii="仿宋" w:hAnsi="仿宋" w:eastAsia="仿宋"/>
                <w:sz w:val="28"/>
                <w:szCs w:val="28"/>
              </w:rPr>
            </w:pPr>
          </w:p>
        </w:tc>
        <w:tc>
          <w:tcPr>
            <w:tcW w:w="1701" w:type="dxa"/>
            <w:noWrap/>
            <w:vAlign w:val="center"/>
          </w:tcPr>
          <w:p>
            <w:pPr>
              <w:jc w:val="center"/>
              <w:rPr>
                <w:rFonts w:ascii="仿宋" w:hAnsi="仿宋" w:eastAsia="仿宋"/>
                <w:sz w:val="28"/>
                <w:szCs w:val="28"/>
              </w:rPr>
            </w:pPr>
          </w:p>
        </w:tc>
        <w:tc>
          <w:tcPr>
            <w:tcW w:w="1701" w:type="dxa"/>
            <w:gridSpan w:val="2"/>
            <w:noWrap/>
            <w:vAlign w:val="center"/>
          </w:tcPr>
          <w:p>
            <w:pPr>
              <w:jc w:val="center"/>
              <w:rPr>
                <w:rFonts w:ascii="仿宋" w:hAnsi="仿宋" w:eastAsia="仿宋"/>
                <w:sz w:val="28"/>
                <w:szCs w:val="28"/>
              </w:rPr>
            </w:pPr>
          </w:p>
        </w:tc>
        <w:tc>
          <w:tcPr>
            <w:tcW w:w="1418" w:type="dxa"/>
            <w:noWrap/>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8" w:type="dxa"/>
            <w:noWrap/>
            <w:vAlign w:val="center"/>
          </w:tcPr>
          <w:p>
            <w:pPr>
              <w:jc w:val="center"/>
              <w:rPr>
                <w:rFonts w:ascii="仿宋" w:hAnsi="仿宋" w:eastAsia="仿宋"/>
                <w:sz w:val="28"/>
                <w:szCs w:val="28"/>
              </w:rPr>
            </w:pPr>
          </w:p>
        </w:tc>
        <w:tc>
          <w:tcPr>
            <w:tcW w:w="1030" w:type="dxa"/>
            <w:noWrap/>
            <w:vAlign w:val="center"/>
          </w:tcPr>
          <w:p>
            <w:pPr>
              <w:jc w:val="center"/>
              <w:rPr>
                <w:rFonts w:ascii="仿宋" w:hAnsi="仿宋" w:eastAsia="仿宋"/>
                <w:sz w:val="28"/>
                <w:szCs w:val="28"/>
              </w:rPr>
            </w:pPr>
          </w:p>
        </w:tc>
        <w:tc>
          <w:tcPr>
            <w:tcW w:w="1552" w:type="dxa"/>
            <w:noWrap/>
            <w:vAlign w:val="center"/>
          </w:tcPr>
          <w:p>
            <w:pPr>
              <w:jc w:val="center"/>
              <w:rPr>
                <w:rFonts w:ascii="仿宋" w:hAnsi="仿宋" w:eastAsia="仿宋"/>
                <w:sz w:val="28"/>
                <w:szCs w:val="28"/>
              </w:rPr>
            </w:pPr>
          </w:p>
        </w:tc>
        <w:tc>
          <w:tcPr>
            <w:tcW w:w="1269" w:type="dxa"/>
            <w:gridSpan w:val="2"/>
            <w:noWrap/>
          </w:tcPr>
          <w:p>
            <w:pPr>
              <w:jc w:val="center"/>
              <w:rPr>
                <w:rFonts w:ascii="仿宋" w:hAnsi="仿宋" w:eastAsia="仿宋"/>
                <w:sz w:val="28"/>
                <w:szCs w:val="28"/>
              </w:rPr>
            </w:pPr>
          </w:p>
        </w:tc>
        <w:tc>
          <w:tcPr>
            <w:tcW w:w="1166" w:type="dxa"/>
            <w:noWrap/>
            <w:vAlign w:val="center"/>
          </w:tcPr>
          <w:p>
            <w:pPr>
              <w:jc w:val="center"/>
              <w:rPr>
                <w:rFonts w:ascii="仿宋" w:hAnsi="仿宋" w:eastAsia="仿宋"/>
                <w:sz w:val="28"/>
                <w:szCs w:val="28"/>
              </w:rPr>
            </w:pPr>
          </w:p>
        </w:tc>
        <w:tc>
          <w:tcPr>
            <w:tcW w:w="1701" w:type="dxa"/>
            <w:noWrap/>
            <w:vAlign w:val="center"/>
          </w:tcPr>
          <w:p>
            <w:pPr>
              <w:jc w:val="center"/>
              <w:rPr>
                <w:rFonts w:ascii="仿宋" w:hAnsi="仿宋" w:eastAsia="仿宋"/>
                <w:sz w:val="28"/>
                <w:szCs w:val="28"/>
              </w:rPr>
            </w:pPr>
          </w:p>
        </w:tc>
        <w:tc>
          <w:tcPr>
            <w:tcW w:w="1701" w:type="dxa"/>
            <w:gridSpan w:val="2"/>
            <w:noWrap/>
            <w:vAlign w:val="center"/>
          </w:tcPr>
          <w:p>
            <w:pPr>
              <w:jc w:val="center"/>
              <w:rPr>
                <w:rFonts w:ascii="仿宋" w:hAnsi="仿宋" w:eastAsia="仿宋"/>
                <w:sz w:val="28"/>
                <w:szCs w:val="28"/>
              </w:rPr>
            </w:pPr>
          </w:p>
        </w:tc>
        <w:tc>
          <w:tcPr>
            <w:tcW w:w="1418" w:type="dxa"/>
            <w:noWrap/>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ign w:val="center"/>
          </w:tcPr>
          <w:p>
            <w:pPr>
              <w:jc w:val="center"/>
              <w:rPr>
                <w:rFonts w:ascii="仿宋" w:hAnsi="仿宋" w:eastAsia="仿宋"/>
                <w:sz w:val="28"/>
                <w:szCs w:val="28"/>
              </w:rPr>
            </w:pPr>
          </w:p>
        </w:tc>
        <w:tc>
          <w:tcPr>
            <w:tcW w:w="1030" w:type="dxa"/>
            <w:noWrap/>
            <w:vAlign w:val="center"/>
          </w:tcPr>
          <w:p>
            <w:pPr>
              <w:jc w:val="center"/>
              <w:rPr>
                <w:rFonts w:ascii="仿宋" w:hAnsi="仿宋" w:eastAsia="仿宋"/>
                <w:sz w:val="28"/>
                <w:szCs w:val="28"/>
              </w:rPr>
            </w:pPr>
          </w:p>
        </w:tc>
        <w:tc>
          <w:tcPr>
            <w:tcW w:w="1552" w:type="dxa"/>
            <w:noWrap/>
            <w:vAlign w:val="center"/>
          </w:tcPr>
          <w:p>
            <w:pPr>
              <w:jc w:val="center"/>
              <w:rPr>
                <w:rFonts w:ascii="仿宋" w:hAnsi="仿宋" w:eastAsia="仿宋"/>
                <w:sz w:val="28"/>
                <w:szCs w:val="28"/>
              </w:rPr>
            </w:pPr>
          </w:p>
        </w:tc>
        <w:tc>
          <w:tcPr>
            <w:tcW w:w="1269" w:type="dxa"/>
            <w:gridSpan w:val="2"/>
            <w:noWrap/>
          </w:tcPr>
          <w:p>
            <w:pPr>
              <w:jc w:val="center"/>
              <w:rPr>
                <w:rFonts w:ascii="仿宋" w:hAnsi="仿宋" w:eastAsia="仿宋"/>
                <w:sz w:val="28"/>
                <w:szCs w:val="28"/>
              </w:rPr>
            </w:pPr>
          </w:p>
        </w:tc>
        <w:tc>
          <w:tcPr>
            <w:tcW w:w="1166" w:type="dxa"/>
            <w:noWrap/>
            <w:vAlign w:val="center"/>
          </w:tcPr>
          <w:p>
            <w:pPr>
              <w:jc w:val="center"/>
              <w:rPr>
                <w:rFonts w:ascii="仿宋" w:hAnsi="仿宋" w:eastAsia="仿宋"/>
                <w:sz w:val="28"/>
                <w:szCs w:val="28"/>
              </w:rPr>
            </w:pPr>
          </w:p>
        </w:tc>
        <w:tc>
          <w:tcPr>
            <w:tcW w:w="1701" w:type="dxa"/>
            <w:noWrap/>
            <w:vAlign w:val="center"/>
          </w:tcPr>
          <w:p>
            <w:pPr>
              <w:jc w:val="center"/>
              <w:rPr>
                <w:rFonts w:ascii="仿宋" w:hAnsi="仿宋" w:eastAsia="仿宋"/>
                <w:sz w:val="28"/>
                <w:szCs w:val="28"/>
              </w:rPr>
            </w:pPr>
          </w:p>
        </w:tc>
        <w:tc>
          <w:tcPr>
            <w:tcW w:w="1701" w:type="dxa"/>
            <w:gridSpan w:val="2"/>
            <w:noWrap/>
            <w:vAlign w:val="center"/>
          </w:tcPr>
          <w:p>
            <w:pPr>
              <w:jc w:val="center"/>
              <w:rPr>
                <w:rFonts w:ascii="仿宋" w:hAnsi="仿宋" w:eastAsia="仿宋"/>
                <w:sz w:val="28"/>
                <w:szCs w:val="28"/>
              </w:rPr>
            </w:pPr>
          </w:p>
        </w:tc>
        <w:tc>
          <w:tcPr>
            <w:tcW w:w="1418" w:type="dxa"/>
            <w:noWrap/>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8" w:type="dxa"/>
            <w:gridSpan w:val="2"/>
            <w:noWrap/>
            <w:vAlign w:val="center"/>
          </w:tcPr>
          <w:p>
            <w:pPr>
              <w:jc w:val="center"/>
              <w:rPr>
                <w:rFonts w:ascii="仿宋" w:hAnsi="仿宋" w:eastAsia="仿宋"/>
                <w:sz w:val="28"/>
                <w:szCs w:val="28"/>
              </w:rPr>
            </w:pPr>
            <w:r>
              <w:rPr>
                <w:rFonts w:hint="eastAsia" w:ascii="仿宋" w:hAnsi="仿宋" w:eastAsia="仿宋"/>
                <w:sz w:val="28"/>
                <w:szCs w:val="28"/>
              </w:rPr>
              <w:t>工疗站负责人签名</w:t>
            </w:r>
          </w:p>
        </w:tc>
        <w:tc>
          <w:tcPr>
            <w:tcW w:w="2076" w:type="dxa"/>
            <w:gridSpan w:val="2"/>
            <w:noWrap/>
          </w:tcPr>
          <w:p>
            <w:pPr>
              <w:jc w:val="center"/>
              <w:rPr>
                <w:rFonts w:ascii="仿宋" w:hAnsi="仿宋" w:eastAsia="仿宋"/>
                <w:sz w:val="28"/>
                <w:szCs w:val="28"/>
              </w:rPr>
            </w:pPr>
          </w:p>
        </w:tc>
        <w:tc>
          <w:tcPr>
            <w:tcW w:w="1911" w:type="dxa"/>
            <w:gridSpan w:val="2"/>
            <w:noWrap/>
            <w:vAlign w:val="center"/>
          </w:tcPr>
          <w:p>
            <w:pPr>
              <w:jc w:val="center"/>
              <w:rPr>
                <w:rFonts w:ascii="仿宋" w:hAnsi="仿宋" w:eastAsia="仿宋"/>
                <w:sz w:val="28"/>
                <w:szCs w:val="28"/>
              </w:rPr>
            </w:pPr>
          </w:p>
        </w:tc>
        <w:tc>
          <w:tcPr>
            <w:tcW w:w="3129" w:type="dxa"/>
            <w:gridSpan w:val="2"/>
            <w:noWrap/>
            <w:vAlign w:val="center"/>
          </w:tcPr>
          <w:p>
            <w:pPr>
              <w:jc w:val="center"/>
              <w:rPr>
                <w:rFonts w:ascii="仿宋" w:hAnsi="仿宋" w:eastAsia="仿宋"/>
                <w:sz w:val="28"/>
                <w:szCs w:val="28"/>
              </w:rPr>
            </w:pPr>
            <w:r>
              <w:rPr>
                <w:rFonts w:hint="eastAsia" w:ascii="仿宋" w:hAnsi="仿宋" w:eastAsia="仿宋"/>
                <w:sz w:val="28"/>
                <w:szCs w:val="28"/>
              </w:rPr>
              <w:t>工疗站考勤员签名</w:t>
            </w:r>
          </w:p>
        </w:tc>
        <w:tc>
          <w:tcPr>
            <w:tcW w:w="1691" w:type="dxa"/>
            <w:gridSpan w:val="2"/>
            <w:noWrap/>
            <w:vAlign w:val="center"/>
          </w:tcPr>
          <w:p>
            <w:pPr>
              <w:jc w:val="center"/>
              <w:rPr>
                <w:rFonts w:ascii="仿宋" w:hAnsi="仿宋" w:eastAsia="仿宋"/>
                <w:sz w:val="28"/>
                <w:szCs w:val="28"/>
              </w:rPr>
            </w:pPr>
          </w:p>
        </w:tc>
      </w:tr>
    </w:tbl>
    <w:p>
      <w:pPr>
        <w:ind w:firstLine="280" w:firstLineChars="100"/>
        <w:rPr>
          <w:rFonts w:ascii="仿宋" w:hAnsi="仿宋" w:eastAsia="仿宋"/>
          <w:sz w:val="28"/>
          <w:szCs w:val="28"/>
        </w:rPr>
      </w:pPr>
      <w:r>
        <w:rPr>
          <w:rFonts w:hint="eastAsia" w:ascii="仿宋" w:hAnsi="仿宋" w:eastAsia="仿宋"/>
          <w:sz w:val="28"/>
          <w:szCs w:val="28"/>
        </w:rPr>
        <w:t xml:space="preserve">   区        街（镇）工疗站                      年    月   日</w:t>
      </w:r>
    </w:p>
    <w:p>
      <w:pPr>
        <w:rPr>
          <w:rFonts w:ascii="仿宋" w:hAnsi="仿宋" w:eastAsia="仿宋"/>
          <w:sz w:val="28"/>
          <w:szCs w:val="28"/>
        </w:rPr>
        <w:sectPr>
          <w:pgSz w:w="11906" w:h="16838"/>
          <w:pgMar w:top="680" w:right="1191" w:bottom="680" w:left="1418" w:header="851" w:footer="992" w:gutter="0"/>
          <w:pgNumType w:fmt="numberInDash"/>
          <w:cols w:space="720" w:num="1"/>
          <w:docGrid w:type="linesAndChars" w:linePitch="312" w:charSpace="0"/>
        </w:sectPr>
      </w:pPr>
      <w:r>
        <w:rPr>
          <w:rFonts w:hint="eastAsia" w:ascii="仿宋" w:hAnsi="仿宋" w:eastAsia="仿宋"/>
          <w:sz w:val="28"/>
          <w:szCs w:val="28"/>
        </w:rPr>
        <w:t>注：学员不会签名的，可盖私章并按本人指纹。</w:t>
      </w:r>
    </w:p>
    <w:p>
      <w:pPr>
        <w:tabs>
          <w:tab w:val="left" w:pos="5040"/>
        </w:tabs>
        <w:rPr>
          <w:rFonts w:ascii="仿宋_GB2312" w:hAnsi="仿宋" w:eastAsia="仿宋_GB2312"/>
          <w:sz w:val="24"/>
        </w:rPr>
      </w:pPr>
    </w:p>
    <w:sectPr>
      <w:pgSz w:w="16838" w:h="11906" w:orient="landscape"/>
      <w:pgMar w:top="794" w:right="680" w:bottom="794" w:left="68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rPr>
        <w:sz w:val="28"/>
        <w:szCs w:val="28"/>
      </w:rPr>
    </w:pPr>
    <w:r>
      <w:rPr>
        <w:rStyle w:val="11"/>
        <w:sz w:val="28"/>
        <w:szCs w:val="28"/>
      </w:rPr>
      <w:fldChar w:fldCharType="begin"/>
    </w:r>
    <w:r>
      <w:rPr>
        <w:rStyle w:val="11"/>
        <w:sz w:val="28"/>
        <w:szCs w:val="28"/>
      </w:rPr>
      <w:instrText xml:space="preserve"> PAGE </w:instrText>
    </w:r>
    <w:r>
      <w:rPr>
        <w:rStyle w:val="11"/>
        <w:sz w:val="28"/>
        <w:szCs w:val="28"/>
      </w:rPr>
      <w:fldChar w:fldCharType="separate"/>
    </w:r>
    <w:r>
      <w:rPr>
        <w:rStyle w:val="11"/>
        <w:sz w:val="28"/>
        <w:szCs w:val="28"/>
      </w:rPr>
      <w:t>- 21 -</w:t>
    </w:r>
    <w:r>
      <w:rPr>
        <w:rStyle w:val="11"/>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1"/>
      </w:rPr>
    </w:pPr>
  </w:p>
  <w:p>
    <w:pPr>
      <w:pStyle w:val="5"/>
      <w:ind w:right="360"/>
      <w:rPr>
        <w:sz w:val="28"/>
        <w:szCs w:val="28"/>
      </w:rPr>
    </w:pPr>
    <w:r>
      <w:rPr>
        <w:rStyle w:val="11"/>
        <w:sz w:val="28"/>
        <w:szCs w:val="28"/>
      </w:rPr>
      <w:fldChar w:fldCharType="begin"/>
    </w:r>
    <w:r>
      <w:rPr>
        <w:rStyle w:val="11"/>
        <w:sz w:val="28"/>
        <w:szCs w:val="28"/>
      </w:rPr>
      <w:instrText xml:space="preserve"> PAGE </w:instrText>
    </w:r>
    <w:r>
      <w:rPr>
        <w:rStyle w:val="11"/>
        <w:sz w:val="28"/>
        <w:szCs w:val="28"/>
      </w:rPr>
      <w:fldChar w:fldCharType="separate"/>
    </w:r>
    <w:r>
      <w:rPr>
        <w:rStyle w:val="11"/>
        <w:sz w:val="28"/>
        <w:szCs w:val="28"/>
      </w:rPr>
      <w:t>38</w:t>
    </w:r>
    <w:r>
      <w:rPr>
        <w:rStyle w:val="11"/>
        <w:sz w:val="28"/>
        <w:szCs w:val="28"/>
      </w:rPr>
      <w:fldChar w:fldCharType="end"/>
    </w:r>
  </w:p>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rPr>
        <w:sz w:val="28"/>
        <w:szCs w:val="28"/>
      </w:rPr>
    </w:pPr>
    <w:r>
      <w:rPr>
        <w:sz w:val="28"/>
        <w:szCs w:val="28"/>
      </w:rPr>
      <w:fldChar w:fldCharType="begin"/>
    </w:r>
    <w:r>
      <w:rPr>
        <w:rStyle w:val="11"/>
        <w:sz w:val="28"/>
        <w:szCs w:val="28"/>
      </w:rPr>
      <w:instrText xml:space="preserve"> PAGE </w:instrText>
    </w:r>
    <w:r>
      <w:rPr>
        <w:sz w:val="28"/>
        <w:szCs w:val="28"/>
      </w:rPr>
      <w:fldChar w:fldCharType="separate"/>
    </w:r>
    <w:r>
      <w:rPr>
        <w:rStyle w:val="11"/>
        <w:sz w:val="28"/>
        <w:szCs w:val="28"/>
      </w:rPr>
      <w:t>- 43 -</w:t>
    </w:r>
    <w:r>
      <w:rPr>
        <w:sz w:val="28"/>
        <w:szCs w:val="28"/>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F592F5"/>
    <w:multiLevelType w:val="multilevel"/>
    <w:tmpl w:val="A9F592F5"/>
    <w:lvl w:ilvl="0" w:tentative="0">
      <w:start w:val="1"/>
      <w:numFmt w:val="lowerLetter"/>
      <w:pStyle w:val="36"/>
      <w:lvlText w:val="%1)"/>
      <w:lvlJc w:val="left"/>
      <w:pPr>
        <w:tabs>
          <w:tab w:val="left" w:pos="840"/>
        </w:tabs>
        <w:ind w:left="839" w:hanging="419"/>
      </w:pPr>
      <w:rPr>
        <w:rFonts w:hint="eastAsia" w:ascii="宋体" w:eastAsia="宋体"/>
        <w:b w:val="0"/>
        <w:i w:val="0"/>
        <w:sz w:val="21"/>
        <w:szCs w:val="21"/>
      </w:rPr>
    </w:lvl>
    <w:lvl w:ilvl="1" w:tentative="0">
      <w:start w:val="1"/>
      <w:numFmt w:val="decimal"/>
      <w:pStyle w:val="40"/>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
    <w:nsid w:val="C991115C"/>
    <w:multiLevelType w:val="singleLevel"/>
    <w:tmpl w:val="C991115C"/>
    <w:lvl w:ilvl="0" w:tentative="0">
      <w:start w:val="3"/>
      <w:numFmt w:val="chineseCounting"/>
      <w:suff w:val="space"/>
      <w:lvlText w:val="第%1章"/>
      <w:lvlJc w:val="left"/>
      <w:rPr>
        <w:rFonts w:hint="eastAsia"/>
      </w:rPr>
    </w:lvl>
  </w:abstractNum>
  <w:abstractNum w:abstractNumId="2">
    <w:nsid w:val="1DBF583A"/>
    <w:multiLevelType w:val="multilevel"/>
    <w:tmpl w:val="1DBF583A"/>
    <w:lvl w:ilvl="0" w:tentative="0">
      <w:start w:val="1"/>
      <w:numFmt w:val="decimal"/>
      <w:pStyle w:val="34"/>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3">
    <w:nsid w:val="1FC91163"/>
    <w:multiLevelType w:val="multilevel"/>
    <w:tmpl w:val="1FC91163"/>
    <w:lvl w:ilvl="0" w:tentative="0">
      <w:start w:val="1"/>
      <w:numFmt w:val="decimal"/>
      <w:pStyle w:val="31"/>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9"/>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28"/>
      <w:suff w:val="nothing"/>
      <w:lvlText w:val="%1.%2.%3　"/>
      <w:lvlJc w:val="left"/>
      <w:pPr>
        <w:ind w:left="0" w:firstLine="0"/>
      </w:pPr>
      <w:rPr>
        <w:rFonts w:hint="eastAsia" w:ascii="黑体" w:hAnsi="Times New Roman" w:eastAsia="黑体"/>
        <w:b w:val="0"/>
        <w:i w:val="0"/>
        <w:sz w:val="21"/>
      </w:rPr>
    </w:lvl>
    <w:lvl w:ilvl="3" w:tentative="0">
      <w:start w:val="1"/>
      <w:numFmt w:val="decimal"/>
      <w:pStyle w:val="27"/>
      <w:suff w:val="nothing"/>
      <w:lvlText w:val="%1.%2.%3.%4　"/>
      <w:lvlJc w:val="left"/>
      <w:pPr>
        <w:ind w:left="993"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2C5917C3"/>
    <w:multiLevelType w:val="multilevel"/>
    <w:tmpl w:val="2C5917C3"/>
    <w:lvl w:ilvl="0" w:tentative="0">
      <w:start w:val="1"/>
      <w:numFmt w:val="none"/>
      <w:pStyle w:val="25"/>
      <w:suff w:val="nothing"/>
      <w:lvlText w:val="%1——"/>
      <w:lvlJc w:val="left"/>
      <w:pPr>
        <w:ind w:left="1117" w:hanging="408"/>
      </w:pPr>
      <w:rPr>
        <w:rFonts w:hint="eastAsia"/>
        <w:lang w:val="en-US"/>
      </w:rPr>
    </w:lvl>
    <w:lvl w:ilvl="1" w:tentative="0">
      <w:start w:val="1"/>
      <w:numFmt w:val="bullet"/>
      <w:lvlText w:val=""/>
      <w:lvlJc w:val="left"/>
      <w:pPr>
        <w:tabs>
          <w:tab w:val="left" w:pos="760"/>
        </w:tabs>
        <w:ind w:left="1264" w:hanging="413"/>
      </w:pPr>
      <w:rPr>
        <w:rFonts w:hint="default" w:ascii="Symbol" w:hAnsi="Symbol"/>
        <w:color w:val="auto"/>
      </w:rPr>
    </w:lvl>
    <w:lvl w:ilvl="2" w:tentative="0">
      <w:start w:val="1"/>
      <w:numFmt w:val="bullet"/>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bordersDoNotSurroundHeader w:val="true"/>
  <w:bordersDoNotSurroundFooter w:val="true"/>
  <w:doNotTrackMoves/>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16BF3"/>
    <w:rsid w:val="00000437"/>
    <w:rsid w:val="000034A9"/>
    <w:rsid w:val="00005609"/>
    <w:rsid w:val="00016BF3"/>
    <w:rsid w:val="00065D60"/>
    <w:rsid w:val="00081BC9"/>
    <w:rsid w:val="0008395F"/>
    <w:rsid w:val="000A2216"/>
    <w:rsid w:val="000A4BE8"/>
    <w:rsid w:val="000C441B"/>
    <w:rsid w:val="000D47A2"/>
    <w:rsid w:val="000E1662"/>
    <w:rsid w:val="00100E58"/>
    <w:rsid w:val="001021AB"/>
    <w:rsid w:val="00115B5E"/>
    <w:rsid w:val="00151EA9"/>
    <w:rsid w:val="00157C1E"/>
    <w:rsid w:val="0016365E"/>
    <w:rsid w:val="00175474"/>
    <w:rsid w:val="00184039"/>
    <w:rsid w:val="00185807"/>
    <w:rsid w:val="00196F22"/>
    <w:rsid w:val="00197BA4"/>
    <w:rsid w:val="001B0C15"/>
    <w:rsid w:val="001B7EF6"/>
    <w:rsid w:val="001C36C4"/>
    <w:rsid w:val="001C378E"/>
    <w:rsid w:val="001D68B5"/>
    <w:rsid w:val="001F43E3"/>
    <w:rsid w:val="00261E7D"/>
    <w:rsid w:val="00264A95"/>
    <w:rsid w:val="00271203"/>
    <w:rsid w:val="002736A0"/>
    <w:rsid w:val="00290A28"/>
    <w:rsid w:val="002B782B"/>
    <w:rsid w:val="002E3584"/>
    <w:rsid w:val="002E5955"/>
    <w:rsid w:val="002F6455"/>
    <w:rsid w:val="00312DB3"/>
    <w:rsid w:val="00324473"/>
    <w:rsid w:val="003339F5"/>
    <w:rsid w:val="0034014C"/>
    <w:rsid w:val="0036212E"/>
    <w:rsid w:val="0037391A"/>
    <w:rsid w:val="003A1EF0"/>
    <w:rsid w:val="003C3805"/>
    <w:rsid w:val="003D091F"/>
    <w:rsid w:val="003D2897"/>
    <w:rsid w:val="003D43E6"/>
    <w:rsid w:val="003E4204"/>
    <w:rsid w:val="003E7424"/>
    <w:rsid w:val="003F051B"/>
    <w:rsid w:val="00402FB3"/>
    <w:rsid w:val="004100BE"/>
    <w:rsid w:val="00427AA4"/>
    <w:rsid w:val="004418B4"/>
    <w:rsid w:val="004B6018"/>
    <w:rsid w:val="004C1006"/>
    <w:rsid w:val="004F09B8"/>
    <w:rsid w:val="00545EE9"/>
    <w:rsid w:val="00553257"/>
    <w:rsid w:val="0056047E"/>
    <w:rsid w:val="0058070A"/>
    <w:rsid w:val="00592AA3"/>
    <w:rsid w:val="005A2734"/>
    <w:rsid w:val="005B0E6B"/>
    <w:rsid w:val="005B6874"/>
    <w:rsid w:val="005D49C2"/>
    <w:rsid w:val="00604441"/>
    <w:rsid w:val="0061000E"/>
    <w:rsid w:val="00610657"/>
    <w:rsid w:val="00620BE3"/>
    <w:rsid w:val="00630DA7"/>
    <w:rsid w:val="0064524B"/>
    <w:rsid w:val="00645D52"/>
    <w:rsid w:val="00654265"/>
    <w:rsid w:val="00674263"/>
    <w:rsid w:val="0067448E"/>
    <w:rsid w:val="006836F4"/>
    <w:rsid w:val="00690F97"/>
    <w:rsid w:val="006927BF"/>
    <w:rsid w:val="006A0A79"/>
    <w:rsid w:val="006A73E6"/>
    <w:rsid w:val="00716ECA"/>
    <w:rsid w:val="007475EC"/>
    <w:rsid w:val="00751FA3"/>
    <w:rsid w:val="007753F2"/>
    <w:rsid w:val="00777689"/>
    <w:rsid w:val="007A3AE0"/>
    <w:rsid w:val="007A78DE"/>
    <w:rsid w:val="007C36FE"/>
    <w:rsid w:val="007D0F62"/>
    <w:rsid w:val="007D5553"/>
    <w:rsid w:val="007D6B71"/>
    <w:rsid w:val="007F38CE"/>
    <w:rsid w:val="0080446D"/>
    <w:rsid w:val="00826BE3"/>
    <w:rsid w:val="008546DF"/>
    <w:rsid w:val="008A57FE"/>
    <w:rsid w:val="008B50FF"/>
    <w:rsid w:val="009213F7"/>
    <w:rsid w:val="0092440C"/>
    <w:rsid w:val="00967D43"/>
    <w:rsid w:val="00974DED"/>
    <w:rsid w:val="0097671D"/>
    <w:rsid w:val="00987B9B"/>
    <w:rsid w:val="0099549F"/>
    <w:rsid w:val="009A0C81"/>
    <w:rsid w:val="009B6F0F"/>
    <w:rsid w:val="009C5DD6"/>
    <w:rsid w:val="009D2812"/>
    <w:rsid w:val="009E08D2"/>
    <w:rsid w:val="00A0604D"/>
    <w:rsid w:val="00A2124B"/>
    <w:rsid w:val="00A914BE"/>
    <w:rsid w:val="00A97301"/>
    <w:rsid w:val="00AA19A1"/>
    <w:rsid w:val="00AF09D8"/>
    <w:rsid w:val="00B052AA"/>
    <w:rsid w:val="00B10468"/>
    <w:rsid w:val="00B1177C"/>
    <w:rsid w:val="00B3199D"/>
    <w:rsid w:val="00B33122"/>
    <w:rsid w:val="00B55008"/>
    <w:rsid w:val="00B572DD"/>
    <w:rsid w:val="00B93424"/>
    <w:rsid w:val="00B94127"/>
    <w:rsid w:val="00B94BFC"/>
    <w:rsid w:val="00BB54EC"/>
    <w:rsid w:val="00BB5D96"/>
    <w:rsid w:val="00BD4B9F"/>
    <w:rsid w:val="00BD6333"/>
    <w:rsid w:val="00BF13E6"/>
    <w:rsid w:val="00C0211C"/>
    <w:rsid w:val="00C17084"/>
    <w:rsid w:val="00C37227"/>
    <w:rsid w:val="00C5121F"/>
    <w:rsid w:val="00C634EF"/>
    <w:rsid w:val="00C651F9"/>
    <w:rsid w:val="00C72069"/>
    <w:rsid w:val="00C7317A"/>
    <w:rsid w:val="00CA4BCF"/>
    <w:rsid w:val="00CB3A23"/>
    <w:rsid w:val="00CB3B94"/>
    <w:rsid w:val="00CD3F4D"/>
    <w:rsid w:val="00CD6BE2"/>
    <w:rsid w:val="00CF16E9"/>
    <w:rsid w:val="00D203A3"/>
    <w:rsid w:val="00D2159E"/>
    <w:rsid w:val="00D27513"/>
    <w:rsid w:val="00D305BE"/>
    <w:rsid w:val="00D50700"/>
    <w:rsid w:val="00D559F4"/>
    <w:rsid w:val="00D606CE"/>
    <w:rsid w:val="00D969E6"/>
    <w:rsid w:val="00DD0BBE"/>
    <w:rsid w:val="00DD5669"/>
    <w:rsid w:val="00DE3711"/>
    <w:rsid w:val="00DF2224"/>
    <w:rsid w:val="00DF6C6D"/>
    <w:rsid w:val="00E01257"/>
    <w:rsid w:val="00E12064"/>
    <w:rsid w:val="00E41A3F"/>
    <w:rsid w:val="00E43318"/>
    <w:rsid w:val="00E74A2B"/>
    <w:rsid w:val="00E750C8"/>
    <w:rsid w:val="00EA2C14"/>
    <w:rsid w:val="00EB4203"/>
    <w:rsid w:val="00EE0A51"/>
    <w:rsid w:val="00F11BA6"/>
    <w:rsid w:val="00F370A2"/>
    <w:rsid w:val="00F77B06"/>
    <w:rsid w:val="00F81CD0"/>
    <w:rsid w:val="00FB7824"/>
    <w:rsid w:val="03F97AC2"/>
    <w:rsid w:val="2ABF626E"/>
    <w:rsid w:val="2B880565"/>
    <w:rsid w:val="31F04362"/>
    <w:rsid w:val="3C6952C8"/>
    <w:rsid w:val="4B4F0240"/>
    <w:rsid w:val="4CFB0558"/>
    <w:rsid w:val="4FCA4B06"/>
    <w:rsid w:val="54A039F9"/>
    <w:rsid w:val="575309A6"/>
    <w:rsid w:val="5FC83259"/>
    <w:rsid w:val="690A6F3F"/>
    <w:rsid w:val="6C8C4923"/>
    <w:rsid w:val="72705278"/>
    <w:rsid w:val="7B7E3C7E"/>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5"/>
    <w:qFormat/>
    <w:uiPriority w:val="0"/>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2"/>
    <w:qFormat/>
    <w:uiPriority w:val="0"/>
    <w:pPr>
      <w:jc w:val="left"/>
    </w:pPr>
    <w:rPr>
      <w:kern w:val="0"/>
      <w:sz w:val="20"/>
    </w:rPr>
  </w:style>
  <w:style w:type="paragraph" w:styleId="4">
    <w:name w:val="Balloon Text"/>
    <w:basedOn w:val="1"/>
    <w:link w:val="21"/>
    <w:qFormat/>
    <w:uiPriority w:val="0"/>
    <w:rPr>
      <w:kern w:val="0"/>
      <w:sz w:val="18"/>
      <w:szCs w:val="18"/>
    </w:rPr>
  </w:style>
  <w:style w:type="paragraph" w:styleId="5">
    <w:name w:val="footer"/>
    <w:basedOn w:val="1"/>
    <w:link w:val="18"/>
    <w:qFormat/>
    <w:uiPriority w:val="0"/>
    <w:pPr>
      <w:tabs>
        <w:tab w:val="center" w:pos="4153"/>
        <w:tab w:val="right" w:pos="8306"/>
      </w:tabs>
      <w:snapToGrid w:val="0"/>
      <w:jc w:val="left"/>
    </w:pPr>
    <w:rPr>
      <w:sz w:val="18"/>
      <w:szCs w:val="18"/>
    </w:rPr>
  </w:style>
  <w:style w:type="paragraph" w:styleId="6">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jc w:val="left"/>
    </w:pPr>
    <w:rPr>
      <w:kern w:val="0"/>
      <w:sz w:val="24"/>
    </w:rPr>
  </w:style>
  <w:style w:type="paragraph" w:styleId="8">
    <w:name w:val="annotation subject"/>
    <w:basedOn w:val="3"/>
    <w:next w:val="3"/>
    <w:link w:val="20"/>
    <w:qFormat/>
    <w:uiPriority w:val="0"/>
    <w:rPr>
      <w:b/>
      <w:bCs/>
    </w:rPr>
  </w:style>
  <w:style w:type="character" w:styleId="11">
    <w:name w:val="page number"/>
    <w:basedOn w:val="10"/>
    <w:qFormat/>
    <w:uiPriority w:val="0"/>
  </w:style>
  <w:style w:type="character" w:styleId="12">
    <w:name w:val="FollowedHyperlink"/>
    <w:qFormat/>
    <w:uiPriority w:val="0"/>
    <w:rPr>
      <w:color w:val="333333"/>
      <w:u w:val="none"/>
    </w:rPr>
  </w:style>
  <w:style w:type="character" w:styleId="13">
    <w:name w:val="Hyperlink"/>
    <w:qFormat/>
    <w:uiPriority w:val="0"/>
    <w:rPr>
      <w:color w:val="333333"/>
      <w:u w:val="none"/>
    </w:rPr>
  </w:style>
  <w:style w:type="character" w:styleId="14">
    <w:name w:val="annotation reference"/>
    <w:qFormat/>
    <w:uiPriority w:val="0"/>
    <w:rPr>
      <w:sz w:val="21"/>
      <w:szCs w:val="21"/>
    </w:rPr>
  </w:style>
  <w:style w:type="character" w:customStyle="1" w:styleId="15">
    <w:name w:val="标题 1 Char"/>
    <w:basedOn w:val="10"/>
    <w:link w:val="2"/>
    <w:qFormat/>
    <w:uiPriority w:val="0"/>
    <w:rPr>
      <w:rFonts w:ascii="Times New Roman" w:hAnsi="Times New Roman" w:eastAsia="宋体" w:cs="Times New Roman"/>
      <w:b/>
      <w:bCs/>
      <w:kern w:val="44"/>
      <w:sz w:val="44"/>
      <w:szCs w:val="44"/>
    </w:rPr>
  </w:style>
  <w:style w:type="character" w:customStyle="1" w:styleId="16">
    <w:name w:val="批注文字 Char"/>
    <w:basedOn w:val="10"/>
    <w:link w:val="3"/>
    <w:qFormat/>
    <w:uiPriority w:val="0"/>
    <w:rPr>
      <w:rFonts w:ascii="Times New Roman" w:hAnsi="Times New Roman" w:eastAsia="宋体" w:cs="Times New Roman"/>
      <w:szCs w:val="24"/>
    </w:rPr>
  </w:style>
  <w:style w:type="character" w:customStyle="1" w:styleId="17">
    <w:name w:val="批注框文本 Char"/>
    <w:basedOn w:val="10"/>
    <w:link w:val="4"/>
    <w:qFormat/>
    <w:uiPriority w:val="0"/>
    <w:rPr>
      <w:rFonts w:ascii="Times New Roman" w:hAnsi="Times New Roman" w:eastAsia="宋体" w:cs="Times New Roman"/>
      <w:sz w:val="18"/>
      <w:szCs w:val="18"/>
    </w:rPr>
  </w:style>
  <w:style w:type="character" w:customStyle="1" w:styleId="18">
    <w:name w:val="页脚 Char"/>
    <w:basedOn w:val="10"/>
    <w:link w:val="5"/>
    <w:qFormat/>
    <w:uiPriority w:val="0"/>
    <w:rPr>
      <w:rFonts w:ascii="Times New Roman" w:hAnsi="Times New Roman" w:eastAsia="宋体" w:cs="Times New Roman"/>
      <w:sz w:val="18"/>
      <w:szCs w:val="18"/>
    </w:rPr>
  </w:style>
  <w:style w:type="character" w:customStyle="1" w:styleId="19">
    <w:name w:val="页眉 Char"/>
    <w:basedOn w:val="10"/>
    <w:link w:val="6"/>
    <w:qFormat/>
    <w:uiPriority w:val="0"/>
    <w:rPr>
      <w:rFonts w:ascii="Times New Roman" w:hAnsi="Times New Roman" w:eastAsia="宋体" w:cs="Times New Roman"/>
      <w:sz w:val="18"/>
      <w:szCs w:val="18"/>
    </w:rPr>
  </w:style>
  <w:style w:type="character" w:customStyle="1" w:styleId="20">
    <w:name w:val="批注主题 Char"/>
    <w:basedOn w:val="16"/>
    <w:link w:val="8"/>
    <w:qFormat/>
    <w:uiPriority w:val="0"/>
    <w:rPr>
      <w:b/>
      <w:bCs/>
    </w:rPr>
  </w:style>
  <w:style w:type="character" w:customStyle="1" w:styleId="21">
    <w:name w:val="批注框文本 Char1"/>
    <w:link w:val="4"/>
    <w:qFormat/>
    <w:uiPriority w:val="0"/>
    <w:rPr>
      <w:rFonts w:ascii="Times New Roman" w:hAnsi="Times New Roman" w:eastAsia="宋体" w:cs="Times New Roman"/>
      <w:sz w:val="18"/>
      <w:szCs w:val="18"/>
    </w:rPr>
  </w:style>
  <w:style w:type="character" w:customStyle="1" w:styleId="22">
    <w:name w:val="批注文字 Char1"/>
    <w:link w:val="3"/>
    <w:qFormat/>
    <w:uiPriority w:val="0"/>
    <w:rPr>
      <w:rFonts w:ascii="Times New Roman" w:hAnsi="Times New Roman" w:eastAsia="宋体" w:cs="Times New Roman"/>
      <w:szCs w:val="24"/>
    </w:rPr>
  </w:style>
  <w:style w:type="character" w:customStyle="1" w:styleId="23">
    <w:name w:val="layui-layer-tabnow"/>
    <w:qFormat/>
    <w:uiPriority w:val="0"/>
    <w:rPr>
      <w:bdr w:val="single" w:color="CCCCCC" w:sz="6" w:space="0"/>
      <w:shd w:val="clear" w:color="auto" w:fill="FFFFFF"/>
    </w:rPr>
  </w:style>
  <w:style w:type="character" w:customStyle="1" w:styleId="24">
    <w:name w:val="first-child"/>
    <w:qFormat/>
    <w:uiPriority w:val="0"/>
  </w:style>
  <w:style w:type="paragraph" w:customStyle="1" w:styleId="25">
    <w:name w:val="列项——（一级）"/>
    <w:qFormat/>
    <w:uiPriority w:val="0"/>
    <w:pPr>
      <w:widowControl w:val="0"/>
      <w:numPr>
        <w:ilvl w:val="0"/>
        <w:numId w:val="1"/>
      </w:numPr>
      <w:jc w:val="both"/>
    </w:pPr>
    <w:rPr>
      <w:rFonts w:ascii="宋体" w:hAnsi="Times New Roman" w:eastAsia="宋体" w:cs="Times New Roman"/>
      <w:sz w:val="21"/>
      <w:lang w:val="en-US" w:eastAsia="zh-CN" w:bidi="ar-SA"/>
    </w:rPr>
  </w:style>
  <w:style w:type="paragraph" w:customStyle="1" w:styleId="26">
    <w:name w:val="三级无"/>
    <w:basedOn w:val="27"/>
    <w:qFormat/>
    <w:uiPriority w:val="0"/>
    <w:pPr>
      <w:spacing w:beforeLines="0" w:afterLines="0"/>
    </w:pPr>
    <w:rPr>
      <w:rFonts w:ascii="宋体" w:eastAsia="宋体"/>
    </w:rPr>
  </w:style>
  <w:style w:type="paragraph" w:customStyle="1" w:styleId="27">
    <w:name w:val="三级条标题"/>
    <w:basedOn w:val="28"/>
    <w:next w:val="30"/>
    <w:qFormat/>
    <w:uiPriority w:val="0"/>
    <w:pPr>
      <w:numPr>
        <w:ilvl w:val="3"/>
      </w:numPr>
      <w:outlineLvl w:val="4"/>
    </w:pPr>
  </w:style>
  <w:style w:type="paragraph" w:customStyle="1" w:styleId="28">
    <w:name w:val="二级条标题"/>
    <w:basedOn w:val="29"/>
    <w:next w:val="30"/>
    <w:qFormat/>
    <w:uiPriority w:val="0"/>
    <w:pPr>
      <w:numPr>
        <w:ilvl w:val="2"/>
      </w:numPr>
      <w:spacing w:before="50" w:after="50"/>
      <w:outlineLvl w:val="3"/>
    </w:pPr>
  </w:style>
  <w:style w:type="paragraph" w:customStyle="1" w:styleId="29">
    <w:name w:val="一级条标题"/>
    <w:next w:val="30"/>
    <w:qFormat/>
    <w:uiPriority w:val="0"/>
    <w:pPr>
      <w:numPr>
        <w:ilvl w:val="1"/>
        <w:numId w:val="2"/>
      </w:numPr>
      <w:spacing w:beforeLines="50" w:afterLines="50"/>
      <w:outlineLvl w:val="2"/>
    </w:pPr>
    <w:rPr>
      <w:rFonts w:ascii="黑体" w:hAnsi="Times New Roman" w:eastAsia="黑体" w:cs="Times New Roman"/>
      <w:sz w:val="21"/>
      <w:szCs w:val="21"/>
      <w:lang w:val="en-US" w:eastAsia="zh-CN" w:bidi="ar-SA"/>
    </w:rPr>
  </w:style>
  <w:style w:type="paragraph" w:customStyle="1" w:styleId="30">
    <w:name w:val="段"/>
    <w:link w:val="38"/>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paragraph" w:customStyle="1" w:styleId="31">
    <w:name w:val="章标题"/>
    <w:next w:val="30"/>
    <w:qFormat/>
    <w:uiPriority w:val="0"/>
    <w:pPr>
      <w:numPr>
        <w:ilvl w:val="0"/>
        <w:numId w:val="2"/>
      </w:numPr>
      <w:spacing w:beforeLines="100" w:afterLines="100"/>
      <w:jc w:val="both"/>
      <w:outlineLvl w:val="1"/>
    </w:pPr>
    <w:rPr>
      <w:rFonts w:ascii="黑体" w:hAnsi="Times New Roman" w:eastAsia="黑体" w:cs="Times New Roman"/>
      <w:sz w:val="21"/>
      <w:lang w:val="en-US" w:eastAsia="zh-CN" w:bidi="ar-SA"/>
    </w:rPr>
  </w:style>
  <w:style w:type="paragraph" w:customStyle="1" w:styleId="32">
    <w:name w:val="注：（正文）"/>
    <w:basedOn w:val="33"/>
    <w:next w:val="30"/>
    <w:qFormat/>
    <w:uiPriority w:val="0"/>
  </w:style>
  <w:style w:type="paragraph" w:customStyle="1" w:styleId="33">
    <w:name w:val="注："/>
    <w:next w:val="30"/>
    <w:qFormat/>
    <w:uiPriority w:val="0"/>
    <w:pPr>
      <w:widowControl w:val="0"/>
      <w:autoSpaceDE w:val="0"/>
      <w:autoSpaceDN w:val="0"/>
      <w:ind w:left="726" w:hanging="363"/>
      <w:jc w:val="both"/>
    </w:pPr>
    <w:rPr>
      <w:rFonts w:ascii="宋体" w:hAnsi="Times New Roman" w:eastAsia="宋体" w:cs="Times New Roman"/>
      <w:sz w:val="18"/>
      <w:szCs w:val="18"/>
      <w:lang w:val="en-US" w:eastAsia="zh-CN" w:bidi="ar-SA"/>
    </w:rPr>
  </w:style>
  <w:style w:type="paragraph" w:customStyle="1" w:styleId="34">
    <w:name w:val="注×：（正文）"/>
    <w:qFormat/>
    <w:uiPriority w:val="0"/>
    <w:pPr>
      <w:numPr>
        <w:ilvl w:val="0"/>
        <w:numId w:val="3"/>
      </w:numPr>
      <w:jc w:val="both"/>
    </w:pPr>
    <w:rPr>
      <w:rFonts w:ascii="宋体" w:hAnsi="Times New Roman" w:eastAsia="宋体" w:cs="Times New Roman"/>
      <w:sz w:val="18"/>
      <w:szCs w:val="18"/>
      <w:lang w:val="en-US" w:eastAsia="zh-CN" w:bidi="ar-SA"/>
    </w:rPr>
  </w:style>
  <w:style w:type="paragraph" w:customStyle="1" w:styleId="35">
    <w:name w:val="二级无"/>
    <w:basedOn w:val="28"/>
    <w:qFormat/>
    <w:uiPriority w:val="0"/>
    <w:pPr>
      <w:spacing w:beforeLines="0" w:afterLines="0"/>
    </w:pPr>
    <w:rPr>
      <w:rFonts w:ascii="宋体" w:eastAsia="宋体"/>
    </w:rPr>
  </w:style>
  <w:style w:type="paragraph" w:customStyle="1" w:styleId="36">
    <w:name w:val="字母编号列项（一级）"/>
    <w:qFormat/>
    <w:uiPriority w:val="0"/>
    <w:pPr>
      <w:numPr>
        <w:ilvl w:val="0"/>
        <w:numId w:val="4"/>
      </w:numPr>
      <w:jc w:val="both"/>
    </w:pPr>
    <w:rPr>
      <w:rFonts w:ascii="宋体" w:hAnsi="Times New Roman" w:eastAsia="宋体" w:cs="Times New Roman"/>
      <w:sz w:val="21"/>
      <w:lang w:val="en-US" w:eastAsia="zh-CN" w:bidi="ar-SA"/>
    </w:rPr>
  </w:style>
  <w:style w:type="character" w:customStyle="1" w:styleId="37">
    <w:name w:val="明显强调1"/>
    <w:qFormat/>
    <w:uiPriority w:val="21"/>
    <w:rPr>
      <w:b/>
      <w:bCs/>
      <w:i/>
      <w:iCs/>
      <w:color w:val="4F81BD"/>
    </w:rPr>
  </w:style>
  <w:style w:type="character" w:customStyle="1" w:styleId="38">
    <w:name w:val="段 Char"/>
    <w:link w:val="30"/>
    <w:qFormat/>
    <w:uiPriority w:val="0"/>
    <w:rPr>
      <w:rFonts w:ascii="宋体"/>
      <w:kern w:val="2"/>
      <w:sz w:val="21"/>
      <w:szCs w:val="22"/>
      <w:lang w:val="en-US" w:eastAsia="zh-CN" w:bidi="ar-SA"/>
    </w:rPr>
  </w:style>
  <w:style w:type="paragraph" w:customStyle="1" w:styleId="39">
    <w:name w:val="附录标识"/>
    <w:basedOn w:val="1"/>
    <w:next w:val="30"/>
    <w:qFormat/>
    <w:uiPriority w:val="0"/>
    <w:pPr>
      <w:keepNext/>
      <w:widowControl/>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40">
    <w:name w:val="附录表标题"/>
    <w:basedOn w:val="1"/>
    <w:next w:val="30"/>
    <w:qFormat/>
    <w:uiPriority w:val="0"/>
    <w:pPr>
      <w:numPr>
        <w:ilvl w:val="1"/>
        <w:numId w:val="4"/>
      </w:numPr>
      <w:tabs>
        <w:tab w:val="left" w:pos="180"/>
      </w:tabs>
      <w:spacing w:beforeLines="50" w:afterLines="50"/>
      <w:ind w:left="0" w:firstLine="0"/>
      <w:jc w:val="center"/>
    </w:pPr>
    <w:rPr>
      <w:rFonts w:ascii="黑体" w:eastAsia="黑体"/>
      <w:szCs w:val="21"/>
    </w:rPr>
  </w:style>
  <w:style w:type="character" w:customStyle="1" w:styleId="41">
    <w:name w:val="批注文字 字符"/>
    <w:qFormat/>
    <w:uiPriority w:val="0"/>
    <w:rPr>
      <w:rFonts w:eastAsia="宋体"/>
      <w:kern w:val="2"/>
      <w:sz w:val="21"/>
      <w:szCs w:val="24"/>
      <w:lang w:val="en-US" w:eastAsia="zh-CN" w:bidi="ar-SA"/>
    </w:rPr>
  </w:style>
  <w:style w:type="character" w:customStyle="1" w:styleId="42">
    <w:name w:val="批注主题 字符"/>
    <w:qFormat/>
    <w:uiPriority w:val="0"/>
    <w:rPr>
      <w:rFonts w:eastAsia="宋体"/>
      <w:b/>
      <w:bCs/>
      <w:kern w:val="2"/>
      <w:sz w:val="21"/>
      <w:szCs w:val="24"/>
      <w:lang w:val="en-US" w:eastAsia="zh-CN" w:bidi="ar-SA"/>
    </w:rPr>
  </w:style>
  <w:style w:type="character" w:customStyle="1" w:styleId="43">
    <w:name w:val="批注框文本 字符"/>
    <w:qFormat/>
    <w:uiPriority w:val="0"/>
    <w:rPr>
      <w:rFonts w:eastAsia="宋体"/>
      <w:kern w:val="2"/>
      <w:sz w:val="18"/>
      <w:szCs w:val="18"/>
      <w:lang w:val="en-US" w:eastAsia="zh-CN" w:bidi="ar-SA"/>
    </w:rPr>
  </w:style>
  <w:style w:type="paragraph" w:customStyle="1" w:styleId="44">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43</Pages>
  <Words>2735</Words>
  <Characters>15596</Characters>
  <Lines>129</Lines>
  <Paragraphs>36</Paragraphs>
  <TotalTime>826</TotalTime>
  <ScaleCrop>false</ScaleCrop>
  <LinksUpToDate>false</LinksUpToDate>
  <CharactersWithSpaces>18295</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2021-05-20T09:49:00Z</dcterms:created>
  <dc:creator>文凯</dc:creator>
  <cp:lastModifiedBy>wenkai</cp:lastModifiedBy>
  <cp:lastPrinted>2021-08-13T14:47:00Z</cp:lastPrinted>
  <dcterms:modified xsi:type="dcterms:W3CDTF">2021-09-06T15:20:05Z</dcterms:modified>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6762E13F8FDC44DF9B68AB9EB2211AC3</vt:lpwstr>
  </property>
</Properties>
</file>